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line="269" w:lineRule="auto"/>
        <w:jc w:val="left"/>
        <w:bidi w:val="1"/>
      </w:pPr>
      <w:r>
        <w:rPr>
          <w:rFonts w:ascii="Arial" w:hAnsi="Arial"/>
          <w:b/>
          <w:color w:val="000000"/>
          <w:sz w:val="44"/>
          <w:rtl w:val="1"/>
          <w:szCs w:val="44"/>
        </w:rPr>
        <w:t>נספח התחייבות לבוררות</w:t>
      </w:r>
    </w:p>
    <w:p>
      <w:pPr>
        <w:spacing w:after="120" w:line="269" w:lineRule="auto"/>
        <w:jc w:val="left"/>
        <w:bidi w:val="1"/>
      </w:pPr>
      <w:r>
        <w:rPr>
          <w:rFonts w:ascii="Arial" w:hAnsi="Arial"/>
          <w:color w:val="000000"/>
          <w:sz w:val="22"/>
          <w:rtl w:val="1"/>
          <w:szCs w:val="22"/>
        </w:rPr>
        <w:t>נתיב הוגן | FairPath | גרסה מיום 9 בספטמבר 2026</w:t>
      </w:r>
    </w:p>
    <w:p>
      <w:pPr>
        <w:spacing w:after="120" w:line="269" w:lineRule="auto"/>
        <w:jc w:val="left"/>
        <w:bidi w:val="1"/>
      </w:pPr>
      <w:r>
        <w:rPr>
          <w:rFonts w:ascii="Arial" w:hAnsi="Arial"/>
          <w:color w:val="000000"/>
          <w:sz w:val="22"/>
          <w:rtl w:val="1"/>
          <w:szCs w:val="22"/>
        </w:rPr>
        <w:t>תבנית מורחבת להתאמה ולבדיקה משפטית לפני חתימה. יש להשלים שדות, למחוק חלופות שאינן מתאימות ולחתום על כל הנספחים.</w:t>
      </w:r>
    </w:p>
    <w:p>
      <w:pPr>
        <w:spacing w:after="120" w:line="269" w:lineRule="auto"/>
        <w:jc w:val="left"/>
        <w:bidi w:val="1"/>
      </w:pPr>
      <w:r>
        <w:rPr>
          <w:rFonts w:ascii="Arial" w:hAnsi="Arial"/>
          <w:color w:val="000000"/>
          <w:sz w:val="22"/>
          <w:rtl w:val="1"/>
          <w:szCs w:val="22"/>
        </w:rPr>
        <w:t>נספח לחוזה קיים. בחתימתו מסכימים הצדדים מראש למסלול בוררות מחייב לגבי המחלוקות המוגדרות בו.</w:t>
      </w:r>
    </w:p>
    <w:p>
      <w:pPr>
        <w:pStyle w:val="Heading1"/>
        <w:spacing w:after="120" w:line="269" w:lineRule="auto" w:before="240"/>
        <w:jc w:val="left"/>
        <w:keepNext/>
        <w:bidi w:val="1"/>
      </w:pPr>
      <w:r>
        <w:rPr>
          <w:rFonts w:ascii="Arial" w:hAnsi="Arial"/>
          <w:b/>
          <w:color w:val="000000"/>
          <w:sz w:val="26"/>
          <w:rtl w:val="1"/>
          <w:szCs w:val="26"/>
        </w:rPr>
        <w:t>1 פרטי הצדדים וההתקשרות</w:t>
      </w:r>
    </w:p>
    <w:p>
      <w:pPr>
        <w:spacing w:after="120" w:line="269" w:lineRule="auto"/>
        <w:jc w:val="left"/>
        <w:bidi w:val="1"/>
      </w:pPr>
      <w:r>
        <w:rPr>
          <w:rFonts w:ascii="Arial" w:hAnsi="Arial"/>
          <w:color w:val="000000"/>
          <w:sz w:val="22"/>
          <w:rtl w:val="1"/>
          <w:szCs w:val="22"/>
        </w:rPr>
        <w:t>1.1  נחתם ביום __________ במקום __________.</w:t>
      </w:r>
    </w:p>
    <w:p>
      <w:pPr>
        <w:spacing w:after="120" w:line="269" w:lineRule="auto"/>
        <w:jc w:val="left"/>
        <w:bidi w:val="1"/>
      </w:pPr>
      <w:r>
        <w:rPr>
          <w:rFonts w:ascii="Arial" w:hAnsi="Arial"/>
          <w:color w:val="000000"/>
          <w:sz w:val="22"/>
          <w:rtl w:val="1"/>
          <w:szCs w:val="22"/>
        </w:rPr>
        <w:t>1.2  צד א: שם מלא __________ מספר זיהוי __________ מען __________</w:t>
      </w:r>
    </w:p>
    <w:p>
      <w:pPr>
        <w:spacing w:after="120" w:line="269" w:lineRule="auto"/>
        <w:jc w:val="left"/>
        <w:bidi w:val="1"/>
      </w:pPr>
      <w:r>
        <w:rPr>
          <w:rFonts w:ascii="Arial" w:hAnsi="Arial"/>
          <w:color w:val="000000"/>
          <w:sz w:val="22"/>
          <w:rtl w:val="1"/>
          <w:szCs w:val="22"/>
        </w:rPr>
        <w:t>1.3  דוא״ל __________ טלפון __________ נציג מוסמך ותפקידו __________</w:t>
      </w:r>
    </w:p>
    <w:p>
      <w:pPr>
        <w:spacing w:after="120" w:line="269" w:lineRule="auto"/>
        <w:jc w:val="left"/>
        <w:bidi w:val="1"/>
      </w:pPr>
      <w:r>
        <w:rPr>
          <w:rFonts w:ascii="Arial" w:hAnsi="Arial"/>
          <w:color w:val="000000"/>
          <w:sz w:val="22"/>
          <w:rtl w:val="1"/>
          <w:szCs w:val="22"/>
        </w:rPr>
        <w:t>1.4  צד ב: שם מלא __________ מספר זיהוי __________ מען __________</w:t>
      </w:r>
    </w:p>
    <w:p>
      <w:pPr>
        <w:spacing w:after="120" w:line="269" w:lineRule="auto"/>
        <w:jc w:val="left"/>
        <w:bidi w:val="1"/>
      </w:pPr>
      <w:r>
        <w:rPr>
          <w:rFonts w:ascii="Arial" w:hAnsi="Arial"/>
          <w:color w:val="000000"/>
          <w:sz w:val="22"/>
          <w:rtl w:val="1"/>
          <w:szCs w:val="22"/>
        </w:rPr>
        <w:t>1.5  דוא״ל __________ טלפון __________ נציג מוסמך ותפקידו __________</w:t>
      </w:r>
    </w:p>
    <w:p>
      <w:pPr>
        <w:spacing w:after="120" w:line="269" w:lineRule="auto"/>
        <w:jc w:val="left"/>
        <w:bidi w:val="1"/>
      </w:pPr>
      <w:r>
        <w:rPr>
          <w:rFonts w:ascii="Arial" w:hAnsi="Arial"/>
          <w:color w:val="000000"/>
          <w:sz w:val="22"/>
          <w:rtl w:val="1"/>
          <w:szCs w:val="22"/>
        </w:rPr>
        <w:t>1.6  החותמים בשם תאגיד מצהירים כי הם מוסמכים להתחייב בשמו. יש לצרף אישור הרשאה לפי הצורך.</w:t>
      </w:r>
    </w:p>
    <w:p>
      <w:pPr>
        <w:pStyle w:val="Heading1"/>
        <w:spacing w:after="120" w:line="269" w:lineRule="auto" w:before="240"/>
        <w:jc w:val="left"/>
        <w:keepNext/>
        <w:bidi w:val="1"/>
      </w:pPr>
      <w:r>
        <w:rPr>
          <w:rFonts w:ascii="Arial" w:hAnsi="Arial"/>
          <w:b/>
          <w:color w:val="000000"/>
          <w:sz w:val="26"/>
          <w:rtl w:val="1"/>
          <w:szCs w:val="26"/>
        </w:rPr>
        <w:t>2 זיהוי ההסכם והיקף הנספח</w:t>
      </w:r>
    </w:p>
    <w:p>
      <w:pPr>
        <w:spacing w:after="120" w:line="269" w:lineRule="auto"/>
        <w:jc w:val="left"/>
        <w:bidi w:val="1"/>
      </w:pPr>
      <w:r>
        <w:rPr>
          <w:rFonts w:ascii="Arial" w:hAnsi="Arial"/>
          <w:color w:val="000000"/>
          <w:sz w:val="22"/>
          <w:rtl w:val="1"/>
          <w:szCs w:val="22"/>
        </w:rPr>
        <w:t>2.1  שם וסוג ההסכם המקורי __________ מיום __________; עניינים שהוחרגו במפורש, אם יש: __________.</w:t>
      </w:r>
    </w:p>
    <w:p>
      <w:pPr>
        <w:spacing w:after="120" w:line="269" w:lineRule="auto"/>
        <w:jc w:val="left"/>
        <w:bidi w:val="1"/>
      </w:pPr>
      <w:r>
        <w:rPr>
          <w:rFonts w:ascii="Arial" w:hAnsi="Arial"/>
          <w:color w:val="000000"/>
          <w:sz w:val="22"/>
          <w:rtl w:val="1"/>
          <w:szCs w:val="22"/>
        </w:rPr>
        <w:t>2.2  נספח חתום זה הוא חלק בלתי נפרד מן ההסכם. בעניין יישוב מחלוקות הוא גובר על הוראה סותרת בהסכם המקורי, בכפוף לדין. יתר התנאים לא משתנים.</w:t>
      </w:r>
    </w:p>
    <w:p>
      <w:pPr>
        <w:pStyle w:val="Heading1"/>
        <w:spacing w:after="120" w:line="269" w:lineRule="auto" w:before="240"/>
        <w:jc w:val="left"/>
        <w:keepNext/>
        <w:bidi w:val="1"/>
      </w:pPr>
      <w:r>
        <w:rPr>
          <w:rFonts w:ascii="Arial" w:hAnsi="Arial"/>
          <w:b/>
          <w:color w:val="000000"/>
          <w:sz w:val="26"/>
          <w:rtl w:val="1"/>
          <w:szCs w:val="26"/>
        </w:rPr>
        <w:t>3 התחייבות לבוררות באמצעות נתיב הוגן</w:t>
      </w:r>
    </w:p>
    <w:p>
      <w:pPr>
        <w:spacing w:after="120" w:line="269" w:lineRule="auto"/>
        <w:jc w:val="left"/>
        <w:bidi w:val="1"/>
      </w:pPr>
      <w:r>
        <w:rPr>
          <w:rFonts w:ascii="Arial" w:hAnsi="Arial"/>
          <w:color w:val="000000"/>
          <w:sz w:val="22"/>
          <w:rtl w:val="1"/>
          <w:szCs w:val="22"/>
        </w:rPr>
        <w:t>3.1  בחתימתם על הסכם זה הצדדים מסכימים ומתחייבים כבר עתה למסור לבוררות כל מחלוקת הנובעת ממנו או הקשורה לכריתתו, פרשנותו, ביצועו, הפרתו או סיומו, ככל שהעניין ניתן לבוררות לפי דין. הבוררות תתנהל באמצעות נתיב הוגן (FairPath), לפני הגשת תביעה לגוף המחלוקת לבית משפט. סעיף זה הוא הסכם בוררות בכתב ואינו מותנה בהסכמה מחודשת לאחר פרוץ המחלוקת.</w:t>
      </w:r>
    </w:p>
    <w:p>
      <w:pPr>
        <w:spacing w:after="120" w:line="269" w:lineRule="auto"/>
        <w:jc w:val="left"/>
        <w:bidi w:val="1"/>
      </w:pPr>
      <w:r>
        <w:rPr>
          <w:rFonts w:ascii="Arial" w:hAnsi="Arial"/>
          <w:color w:val="000000"/>
          <w:sz w:val="22"/>
          <w:rtl w:val="1"/>
          <w:szCs w:val="22"/>
        </w:rPr>
        <w:t>3.2  צד ימסור לצד האחר ולמזכירות נתיב הוגן הודעה מתועדת ובה ההסכם, תיאור המחלוקת והסעד המבוקש. הצדדים ינסו להגיע להסכמה ישירה בתוך 14 ימים מקבלת ההודעה; בהיעדר הסכמה יקדמו את מינוי הבוררים ללא דיחוי. גישור יתקיים רק בהסכמה ולא יהווה תנאי נוסף לבוררות.</w:t>
      </w:r>
    </w:p>
    <w:p>
      <w:pPr>
        <w:spacing w:after="120" w:line="269" w:lineRule="auto"/>
        <w:jc w:val="left"/>
        <w:bidi w:val="1"/>
      </w:pPr>
      <w:r>
        <w:rPr>
          <w:rFonts w:ascii="Arial" w:hAnsi="Arial"/>
          <w:color w:val="000000"/>
          <w:sz w:val="22"/>
          <w:rtl w:val="1"/>
          <w:szCs w:val="22"/>
        </w:rPr>
        <w:t>3.3  שני בוררים ייבחרו בהסכמה משותפת בתוך 14 ימים מתום תקופת ההידברות. כל בורר יהיה עצמאי, יגלה קשרים ועניין אישי ויקבל את אמון שני הצדדים. איש מהצדדים והמזכירות לא ימנו לבדם בורר. הצדדים רשאים להסכים בכתב על בורר יחיד.</w:t>
      </w:r>
    </w:p>
    <w:p>
      <w:pPr>
        <w:spacing w:after="120" w:line="269" w:lineRule="auto"/>
        <w:jc w:val="left"/>
        <w:bidi w:val="1"/>
      </w:pPr>
      <w:r>
        <w:rPr>
          <w:rFonts w:ascii="Arial" w:hAnsi="Arial"/>
          <w:color w:val="000000"/>
          <w:sz w:val="22"/>
          <w:rtl w:val="1"/>
          <w:szCs w:val="22"/>
        </w:rPr>
        <w:t>3.4  אם שני הבוררים לא יגיעו להכרעה מוסכמת, ימונה בורר שלישי בהסכמת הצדדים בתוך 14 ימים מהודעתם, והמותב המורחב יכריע ברוב דעות לאחר שנתן לצדדים זכות טיעון. אם לא הושלם מינוי, אם בורר אינו יכול לכהן, או אם נתיב הוגן אינה זמינה, יפעלו הצדדים למינוי או החלפה בהסכמה; בהיעדרה רשאי כל צד לבקש מינוי מהערכאה המוסמכת, בכפוף להודעה ולתנאים שבסעיף 8 לחוק הבוררות. חוסר שיתוף פעולה אינו מבטל את התחייבות הבוררות.</w:t>
      </w:r>
    </w:p>
    <w:p>
      <w:pPr>
        <w:spacing w:after="120" w:line="269" w:lineRule="auto"/>
        <w:jc w:val="left"/>
        <w:bidi w:val="1"/>
      </w:pPr>
      <w:r>
        <w:rPr>
          <w:rFonts w:ascii="Arial" w:hAnsi="Arial"/>
          <w:color w:val="000000"/>
          <w:sz w:val="22"/>
          <w:rtl w:val="1"/>
          <w:szCs w:val="22"/>
        </w:rPr>
        <w:t>3.5  יחולו דיני מדינת ישראל וחוק הבוררות, תשכ״ח-1968. הבוררים יפסקו לפי הדין המהותי, ייתנו פסק מנומק בכתב ויאפשרו לכל צד הזדמנות שווה להציג טענות, ראיות ותגובה לחומר הצד האחר. כל צד רשאי להסתייע בעורך דין. דיון מקוון יתקיים בהסכמה ותוך התאמות נגישות נחוצות.</w:t>
      </w:r>
    </w:p>
    <w:p>
      <w:pPr>
        <w:spacing w:after="120" w:line="269" w:lineRule="auto"/>
        <w:jc w:val="left"/>
        <w:bidi w:val="1"/>
      </w:pPr>
      <w:r>
        <w:rPr>
          <w:rFonts w:ascii="Arial" w:hAnsi="Arial"/>
          <w:color w:val="000000"/>
          <w:sz w:val="22"/>
          <w:rtl w:val="1"/>
          <w:szCs w:val="22"/>
        </w:rPr>
        <w:t>3.6  טרם קבלת המינוי יוצגו שכר הבוררים, דמי הניהול, אופן החישוב ותנאי הביטול ויאושרו בכתב בידי הצדדים. המקדמות יחולקו שווה בשווה אלא אם הוסכם אחרת; ההכרעה הסופית בהוצאות תהיה בידי הבוררים לאחר טיעון. לא יוחל תעריף עתידי או תקנון שלא צורף ואושר. היעדר הסכמה לעלות אינו מאפשר חיוב חד צדדי ויטופל במסגרת מנגנון המינוי.</w:t>
      </w:r>
    </w:p>
    <w:p>
      <w:pPr>
        <w:spacing w:after="120" w:line="269" w:lineRule="auto"/>
        <w:jc w:val="left"/>
        <w:bidi w:val="1"/>
      </w:pPr>
      <w:r>
        <w:rPr>
          <w:rFonts w:ascii="Arial" w:hAnsi="Arial"/>
          <w:color w:val="000000"/>
          <w:sz w:val="22"/>
          <w:rtl w:val="1"/>
          <w:szCs w:val="22"/>
        </w:rPr>
        <w:t>3.7  הצדדים ישמרו בסוד את חומרי ההליך, למעט גילוי הנדרש לפי דין, לייעוץ מקצועי, למבטח בכפוף לסודיות או לשם מימוש זכויות. אין הבטחה שהליך בבית משפט יישאר חסוי. פרסום מזוהה, הקלטה או שימוש בתוכן לאימון מערכת בינה מלאכותית ידרשו הסכמה נפרדת כדין.</w:t>
      </w:r>
    </w:p>
    <w:p>
      <w:pPr>
        <w:spacing w:after="120" w:line="269" w:lineRule="auto"/>
        <w:jc w:val="left"/>
        <w:bidi w:val="1"/>
      </w:pPr>
      <w:r>
        <w:rPr>
          <w:rFonts w:ascii="Arial" w:hAnsi="Arial"/>
          <w:color w:val="000000"/>
          <w:sz w:val="22"/>
          <w:rtl w:val="1"/>
          <w:szCs w:val="22"/>
        </w:rPr>
        <w:t>3.8  פסק הבוררות יחייב את הצדדים. לא נקבע ערעור פנימי כברירת מחדל; מסלול ערעור ייקבע רק בהסכם כתוב מתאים לדרישות הדין. נשמרות סמכויות בית המשפט לאישור הפסק, לביטולו, לאכיפתו ולפיקוח לפי הדין. אין בסעיף זה ויתור על זכות שאינה ניתנת להתניה.</w:t>
      </w:r>
    </w:p>
    <w:p>
      <w:pPr>
        <w:spacing w:after="120" w:line="269" w:lineRule="auto"/>
        <w:jc w:val="left"/>
        <w:bidi w:val="1"/>
      </w:pPr>
      <w:r>
        <w:rPr>
          <w:rFonts w:ascii="Arial" w:hAnsi="Arial"/>
          <w:color w:val="000000"/>
          <w:sz w:val="22"/>
          <w:rtl w:val="1"/>
          <w:szCs w:val="22"/>
        </w:rPr>
        <w:t>3.9  סעדים דחופים או זמניים, מניעת נזק, שמירת מועדים, מינוי בורר ועניינים שאינם בני בוררות ניתן להביא לערכאה המוסמכת ללא המתנה לסיום ההידברות. עצם הפנייה למזכירות אינה עוצרת התיישנות. חתימה על שטר מפורט בהמשך תסדיר פרטים בלבד ולא תהווה תנאי לתוקף התחייבות זו. הסעיף יוסיף לחול גם לאחר סיום ההסכם.</w:t>
      </w:r>
    </w:p>
    <w:p>
      <w:pPr>
        <w:pStyle w:val="Heading1"/>
        <w:spacing w:after="120" w:line="269" w:lineRule="auto" w:before="240"/>
        <w:jc w:val="left"/>
        <w:keepNext/>
        <w:bidi w:val="1"/>
      </w:pPr>
      <w:r>
        <w:rPr>
          <w:rFonts w:ascii="Arial" w:hAnsi="Arial"/>
          <w:b/>
          <w:color w:val="000000"/>
          <w:sz w:val="26"/>
          <w:rtl w:val="1"/>
          <w:szCs w:val="26"/>
        </w:rPr>
        <w:t>4 הודעות ושינויים</w:t>
      </w:r>
    </w:p>
    <w:p>
      <w:pPr>
        <w:spacing w:after="120" w:line="269" w:lineRule="auto"/>
        <w:jc w:val="left"/>
        <w:bidi w:val="1"/>
      </w:pPr>
      <w:r>
        <w:rPr>
          <w:rFonts w:ascii="Arial" w:hAnsi="Arial"/>
          <w:color w:val="000000"/>
          <w:sz w:val="22"/>
          <w:rtl w:val="1"/>
          <w:szCs w:val="22"/>
        </w:rPr>
        <w:t>4.1  הודעות יימסרו לכתובות הדוא״ל והמען שנרשמו בהסכם, בדרך המאפשרת הוכחת קבלה. הודעת ביטול או פתיחת בוררות תישלח בשני ערוצים ככל האפשר. כל צד יעדכן שינוי בפרטיו. אין באישור משלוח בלבד הוכחה חלוטה לקבלה.</w:t>
      </w:r>
    </w:p>
    <w:p>
      <w:pPr>
        <w:spacing w:after="120" w:line="269" w:lineRule="auto"/>
        <w:jc w:val="left"/>
        <w:bidi w:val="1"/>
      </w:pPr>
      <w:r>
        <w:rPr>
          <w:rFonts w:ascii="Arial" w:hAnsi="Arial"/>
          <w:color w:val="000000"/>
          <w:sz w:val="22"/>
          <w:rtl w:val="1"/>
          <w:szCs w:val="22"/>
        </w:rPr>
        <w:t>4.2  כל שינוי יחייב מסמך מתוארך וחתום בידי הצדדים. תנאי מסחרי ספציפי בנספח גובר על תנאי כללי רק אם צוין השינוי במפורש; הוראות דין שאינן ניתנות להתניה גוברות. שינוי בתניית הבוררות טעון אזכור מפורש שלה.</w:t>
      </w:r>
    </w:p>
    <w:p>
      <w:pPr>
        <w:spacing w:after="120" w:line="269" w:lineRule="auto"/>
        <w:jc w:val="left"/>
        <w:bidi w:val="1"/>
      </w:pPr>
      <w:r>
        <w:rPr>
          <w:rFonts w:ascii="Arial" w:hAnsi="Arial"/>
          <w:color w:val="000000"/>
          <w:sz w:val="22"/>
          <w:rtl w:val="1"/>
          <w:szCs w:val="22"/>
        </w:rPr>
        <w:t>4.3  אין בשיהוי משום ויתור. בטלות הוראה אינה מבטלת את יתר ההסכם ככל שניתן לקיימו. הצדדים יקיימו חיובים שאינם במחלוקת, בכפוף לזכויותיהם בדין. בתי המשפט בישראל המוסמכים לפי דין ידונו בעניינים שנותרו בסמכותם.</w:t>
      </w:r>
    </w:p>
    <w:p>
      <w:pPr>
        <w:pStyle w:val="Heading1"/>
        <w:spacing w:after="120" w:line="269" w:lineRule="auto" w:before="240"/>
        <w:jc w:val="left"/>
        <w:keepNext/>
        <w:bidi w:val="1"/>
      </w:pPr>
      <w:r>
        <w:rPr>
          <w:rFonts w:ascii="Arial" w:hAnsi="Arial"/>
          <w:b/>
          <w:color w:val="000000"/>
          <w:sz w:val="26"/>
          <w:rtl w:val="1"/>
          <w:szCs w:val="26"/>
        </w:rPr>
        <w:t>אישור וחתימות</w:t>
      </w:r>
    </w:p>
    <w:p>
      <w:pPr>
        <w:spacing w:after="120" w:line="269" w:lineRule="auto"/>
        <w:jc w:val="left"/>
        <w:bidi w:val="1"/>
      </w:pPr>
      <w:r>
        <w:rPr>
          <w:rFonts w:ascii="Arial" w:hAnsi="Arial"/>
          <w:color w:val="000000"/>
          <w:sz w:val="22"/>
          <w:rtl w:val="1"/>
          <w:szCs w:val="22"/>
        </w:rPr>
        <w:t>הצדדים קראו את ההסכם, ובפרט את ההתחייבות לבוררות באמצעות נתיב הוגן, הבינו את משמעותה וקיבלו אפשרות לייעוץ עצמאי. כל צד יקבל עותק חתום. התחייבות הבוררות היא חלק מההסכם שנחתם.</w:t>
      </w:r>
    </w:p>
    <w:p>
      <w:pPr>
        <w:spacing w:after="120" w:line="269" w:lineRule="auto"/>
        <w:jc w:val="left"/>
        <w:bidi w:val="1"/>
      </w:pPr>
      <w:r>
        <w:rPr>
          <w:rFonts w:ascii="Arial" w:hAnsi="Arial"/>
          <w:color w:val="000000"/>
          <w:sz w:val="22"/>
          <w:rtl w:val="1"/>
          <w:szCs w:val="22"/>
        </w:rPr>
        <w:t>צד א: שם __________ חתימה __________ תאריך __________</w:t>
      </w:r>
    </w:p>
    <w:p>
      <w:pPr>
        <w:spacing w:after="120" w:line="269" w:lineRule="auto"/>
        <w:jc w:val="left"/>
        <w:bidi w:val="1"/>
      </w:pPr>
      <w:r>
        <w:rPr>
          <w:rFonts w:ascii="Arial" w:hAnsi="Arial"/>
          <w:color w:val="000000"/>
          <w:sz w:val="22"/>
          <w:rtl w:val="1"/>
          <w:szCs w:val="22"/>
        </w:rPr>
        <w:t>צד ב: שם __________ חתימה __________ תאריך __________</w:t>
      </w:r>
    </w:p>
    <w:sectPr w:rsidR="00FC693F" w:rsidRPr="0006063C" w:rsidSect="00034616">
      <w:headerReference w:type="default" r:id="rId9"/>
      <w:footerReference w:type="default" r:id="rId10"/>
      <w:pgSz w:w="12240" w:h="15840"/>
      <w:pgMar w:top="936" w:right="1008" w:bottom="1008"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bidi w:val="1"/>
    </w:pPr>
    <w:r>
      <w:rPr>
        <w:rFonts w:ascii="Arial" w:hAnsi="Arial" w:cs="Arial"/>
        <w:b w:val="0"/>
        <w:color w:val="5C707B"/>
        <w:sz w:val="16"/>
        <w:rtl w:val="1"/>
      </w:rPr>
      <w:t>תבנית להמחשה בלבד · מומלץ לקבל ייעוץ משפטי לפני חתימה</w:t>
    </w:r>
    <w:r>
      <w:rPr/>
      <w:t xml:space="preserve">fairpath.uk  </w:t>
    </w:r>
    <w:r>
      <w:drawing>
        <wp:inline xmlns:a="http://schemas.openxmlformats.org/drawingml/2006/main" xmlns:pic="http://schemas.openxmlformats.org/drawingml/2006/picture">
          <wp:extent cx="438912" cy="438912"/>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438912" cy="438912"/>
                  </a:xfrm>
                  <a:prstGeom prst="rect"/>
                </pic:spPr>
              </pic:pic>
            </a:graphicData>
          </a:graphic>
        </wp:inline>
      </w:drawing>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bidi w:val="1"/>
    </w:pPr>
    <w:r>
      <w:rPr>
        <w:rFonts w:ascii="Arial" w:hAnsi="Arial" w:cs="Arial"/>
        <w:b/>
        <w:color w:val="000000"/>
        <w:sz w:val="18"/>
        <w:rtl w:val="1"/>
      </w:rPr>
      <w:t>FairPath  |  טפסים וחוזים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