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80" w:line="254" w:lineRule="auto"/>
        <w:jc w:val="left"/>
        <w:bidi w:val="1"/>
      </w:pPr>
      <w:r>
        <w:rPr>
          <w:rFonts w:ascii="Arial" w:hAnsi="Arial"/>
          <w:b/>
          <w:color w:val="000000"/>
          <w:sz w:val="44"/>
          <w:rtl w:val="1"/>
          <w:szCs w:val="44"/>
        </w:rPr>
        <w:t>שטר בוררות מורחב</w:t>
      </w:r>
    </w:p>
    <w:p>
      <w:pPr>
        <w:spacing w:after="80" w:line="254" w:lineRule="auto"/>
        <w:jc w:val="left"/>
        <w:bidi w:val="1"/>
      </w:pPr>
      <w:r>
        <w:rPr>
          <w:rFonts w:ascii="Arial" w:hAnsi="Arial"/>
          <w:color w:val="000000"/>
          <w:sz w:val="22"/>
          <w:rtl w:val="1"/>
          <w:szCs w:val="22"/>
        </w:rPr>
        <w:t>נתיב הוגן | FairPath | גרסה מיום 9 בספטמבר 2026</w:t>
      </w:r>
    </w:p>
    <w:p>
      <w:pPr>
        <w:spacing w:after="80" w:line="254" w:lineRule="auto"/>
        <w:jc w:val="left"/>
        <w:bidi w:val="1"/>
      </w:pPr>
      <w:r>
        <w:rPr>
          <w:rFonts w:ascii="Arial" w:hAnsi="Arial"/>
          <w:color w:val="000000"/>
          <w:sz w:val="22"/>
          <w:rtl w:val="1"/>
          <w:szCs w:val="22"/>
        </w:rPr>
        <w:t>תבנית מורחבת להתאמה ולבדיקה משפטית לפני חתימה. יש להשלים שדות, למחוק חלופות שאינן מתאימות ולחתום על כל הנספחים.</w:t>
      </w:r>
    </w:p>
    <w:p>
      <w:pPr>
        <w:spacing w:after="80" w:line="254" w:lineRule="auto"/>
        <w:jc w:val="left"/>
        <w:bidi w:val="1"/>
      </w:pPr>
      <w:r>
        <w:rPr>
          <w:rFonts w:ascii="Arial" w:hAnsi="Arial"/>
          <w:color w:val="000000"/>
          <w:sz w:val="22"/>
          <w:rtl w:val="1"/>
          <w:szCs w:val="22"/>
        </w:rPr>
        <w:t>מסמך למסירת מחלוקת קיימת לבוררות, להגדרת הסעדים וזהות הבוררים ולתיעוד כללי ההליך. יש לצרף הסכם קודם אם קיים.</w:t>
      </w:r>
    </w:p>
    <w:p>
      <w:pPr>
        <w:pStyle w:val="Heading1"/>
        <w:spacing w:after="80" w:line="254" w:lineRule="auto" w:before="240"/>
        <w:jc w:val="left"/>
        <w:keepNext/>
        <w:bidi w:val="1"/>
      </w:pPr>
      <w:r>
        <w:rPr>
          <w:rFonts w:ascii="Arial" w:hAnsi="Arial"/>
          <w:b/>
          <w:color w:val="000000"/>
          <w:sz w:val="26"/>
          <w:rtl w:val="1"/>
          <w:szCs w:val="26"/>
        </w:rPr>
        <w:t>1 פרטי הצדדים וההתקשרות</w:t>
      </w:r>
    </w:p>
    <w:p>
      <w:pPr>
        <w:spacing w:after="80" w:line="254" w:lineRule="auto"/>
        <w:jc w:val="left"/>
        <w:bidi w:val="1"/>
      </w:pPr>
      <w:r>
        <w:rPr>
          <w:rFonts w:ascii="Arial" w:hAnsi="Arial"/>
          <w:color w:val="000000"/>
          <w:sz w:val="22"/>
          <w:rtl w:val="1"/>
          <w:szCs w:val="22"/>
        </w:rPr>
        <w:t>1.1  נחתם ביום __________ במקום __________.</w:t>
      </w:r>
    </w:p>
    <w:p>
      <w:pPr>
        <w:spacing w:after="80" w:line="254" w:lineRule="auto"/>
        <w:jc w:val="left"/>
        <w:bidi w:val="1"/>
      </w:pPr>
      <w:r>
        <w:rPr>
          <w:rFonts w:ascii="Arial" w:hAnsi="Arial"/>
          <w:color w:val="000000"/>
          <w:sz w:val="22"/>
          <w:rtl w:val="1"/>
          <w:szCs w:val="22"/>
        </w:rPr>
        <w:t>1.2  צד א או התובע: שם מלא __________ מספר זיהוי __________ מען __________</w:t>
      </w:r>
    </w:p>
    <w:p>
      <w:pPr>
        <w:spacing w:after="80" w:line="254" w:lineRule="auto"/>
        <w:jc w:val="left"/>
        <w:bidi w:val="1"/>
      </w:pPr>
      <w:r>
        <w:rPr>
          <w:rFonts w:ascii="Arial" w:hAnsi="Arial"/>
          <w:color w:val="000000"/>
          <w:sz w:val="22"/>
          <w:rtl w:val="1"/>
          <w:szCs w:val="22"/>
        </w:rPr>
        <w:t>1.3  דוא״ל __________ טלפון __________ נציג מוסמך ותפקידו __________</w:t>
      </w:r>
    </w:p>
    <w:p>
      <w:pPr>
        <w:spacing w:after="80" w:line="254" w:lineRule="auto"/>
        <w:jc w:val="left"/>
        <w:bidi w:val="1"/>
      </w:pPr>
      <w:r>
        <w:rPr>
          <w:rFonts w:ascii="Arial" w:hAnsi="Arial"/>
          <w:color w:val="000000"/>
          <w:sz w:val="22"/>
          <w:rtl w:val="1"/>
          <w:szCs w:val="22"/>
        </w:rPr>
        <w:t>1.4  צד ב או הנתבע: שם מלא __________ מספר זיהוי __________ מען __________</w:t>
      </w:r>
    </w:p>
    <w:p>
      <w:pPr>
        <w:spacing w:after="80" w:line="254" w:lineRule="auto"/>
        <w:jc w:val="left"/>
        <w:bidi w:val="1"/>
      </w:pPr>
      <w:r>
        <w:rPr>
          <w:rFonts w:ascii="Arial" w:hAnsi="Arial"/>
          <w:color w:val="000000"/>
          <w:sz w:val="22"/>
          <w:rtl w:val="1"/>
          <w:szCs w:val="22"/>
        </w:rPr>
        <w:t>1.5  דוא״ל __________ טלפון __________ נציג מוסמך ותפקידו __________</w:t>
      </w:r>
    </w:p>
    <w:p>
      <w:pPr>
        <w:spacing w:after="80" w:line="254" w:lineRule="auto"/>
        <w:jc w:val="left"/>
        <w:bidi w:val="1"/>
      </w:pPr>
      <w:r>
        <w:rPr>
          <w:rFonts w:ascii="Arial" w:hAnsi="Arial"/>
          <w:color w:val="000000"/>
          <w:sz w:val="22"/>
          <w:rtl w:val="1"/>
          <w:szCs w:val="22"/>
        </w:rPr>
        <w:t>1.6  החותמים בשם תאגיד מצהירים כי הם מוסמכים להתחייב בשמו. יש לצרף אישור הרשאה לפי הצורך.</w:t>
      </w:r>
    </w:p>
    <w:p>
      <w:pPr>
        <w:pStyle w:val="Heading1"/>
        <w:spacing w:after="80" w:line="254" w:lineRule="auto" w:before="240"/>
        <w:jc w:val="left"/>
        <w:keepNext/>
        <w:bidi w:val="1"/>
      </w:pPr>
      <w:r>
        <w:rPr>
          <w:rFonts w:ascii="Arial" w:hAnsi="Arial"/>
          <w:b/>
          <w:color w:val="000000"/>
          <w:sz w:val="26"/>
          <w:rtl w:val="1"/>
          <w:szCs w:val="26"/>
        </w:rPr>
        <w:t>2 המחלוקת הנמסרת להכרעה</w:t>
      </w:r>
    </w:p>
    <w:p>
      <w:pPr>
        <w:spacing w:after="80" w:line="254" w:lineRule="auto"/>
        <w:jc w:val="left"/>
        <w:bidi w:val="1"/>
      </w:pPr>
      <w:r>
        <w:rPr>
          <w:rFonts w:ascii="Arial" w:hAnsi="Arial"/>
          <w:color w:val="000000"/>
          <w:sz w:val="22"/>
          <w:rtl w:val="1"/>
          <w:szCs w:val="22"/>
        </w:rPr>
        <w:t>2.1  הסכם קודם ותאריכו __________. תיאור המחלוקת __________. סכום התביעה ___ ש״ח; סעדים שאינם כספיים __________. טענות נגדיות וסעדים __________.</w:t>
      </w:r>
    </w:p>
    <w:p>
      <w:pPr>
        <w:spacing w:after="80" w:line="254" w:lineRule="auto"/>
        <w:jc w:val="left"/>
        <w:bidi w:val="1"/>
      </w:pPr>
      <w:r>
        <w:rPr>
          <w:rFonts w:ascii="Arial" w:hAnsi="Arial"/>
          <w:color w:val="000000"/>
          <w:sz w:val="22"/>
          <w:rtl w:val="1"/>
          <w:szCs w:val="22"/>
        </w:rPr>
        <w:t>2.2  הסוגיות המוסכמות להכרעה __________; עניינים שאינם נמסרים להכרעה __________. הרחבת הסמכות תיעשה בכתב בהסכמת הצדדים ובכפוף לדין.</w:t>
      </w:r>
    </w:p>
    <w:p>
      <w:pPr>
        <w:spacing w:after="80" w:line="254" w:lineRule="auto"/>
        <w:jc w:val="left"/>
        <w:bidi w:val="1"/>
      </w:pPr>
      <w:r>
        <w:rPr>
          <w:rFonts w:ascii="Arial" w:hAnsi="Arial"/>
          <w:color w:val="000000"/>
          <w:sz w:val="22"/>
          <w:rtl w:val="1"/>
          <w:szCs w:val="22"/>
        </w:rPr>
        <w:t>2.3  קיום הליך מקביל, סעד זמני או מועד משפטי קרוב __________. יש לצרף החלטות רלוונטיות ולמנוע הליכים כפולים בניגוד לדין.</w:t>
      </w:r>
    </w:p>
    <w:p>
      <w:pPr>
        <w:pStyle w:val="Heading1"/>
        <w:spacing w:after="80" w:line="254" w:lineRule="auto" w:before="240"/>
        <w:jc w:val="left"/>
        <w:keepNext/>
        <w:bidi w:val="1"/>
      </w:pPr>
      <w:r>
        <w:rPr>
          <w:rFonts w:ascii="Arial" w:hAnsi="Arial"/>
          <w:b/>
          <w:color w:val="000000"/>
          <w:sz w:val="26"/>
          <w:rtl w:val="1"/>
          <w:szCs w:val="26"/>
        </w:rPr>
        <w:t>3 מינוי ותנאי ההליך</w:t>
      </w:r>
    </w:p>
    <w:p>
      <w:pPr>
        <w:spacing w:after="80" w:line="254" w:lineRule="auto"/>
        <w:jc w:val="left"/>
        <w:bidi w:val="1"/>
      </w:pPr>
      <w:r>
        <w:rPr>
          <w:rFonts w:ascii="Arial" w:hAnsi="Arial"/>
          <w:color w:val="000000"/>
          <w:sz w:val="22"/>
          <w:rtl w:val="1"/>
          <w:szCs w:val="22"/>
        </w:rPr>
        <w:t>3.1  הבוררים המוסכמים: 1. __________ 2. __________. אם הוסכם בורר יחיד, שמו __________ וחתימות הצדדים לכך __________. יתקבל אישור קבלת תפקיד והצהרת ניגוד עניינים מכל בורר.</w:t>
      </w:r>
    </w:p>
    <w:p>
      <w:pPr>
        <w:spacing w:after="80" w:line="254" w:lineRule="auto"/>
        <w:jc w:val="left"/>
        <w:bidi w:val="1"/>
      </w:pPr>
      <w:r>
        <w:rPr>
          <w:rFonts w:ascii="Arial" w:hAnsi="Arial"/>
          <w:color w:val="000000"/>
          <w:sz w:val="22"/>
          <w:rtl w:val="1"/>
          <w:szCs w:val="22"/>
        </w:rPr>
        <w:t>3.2  מקום הבוררות בישראל __________ שפה __________. דיון מקוון מוסכם: כן / לא. התאמות נגישות ותרגום __________. מועדי כתבי טענות, תגובה, ראיות ודיון ייקבעו בהחלטה שתימסר לשני הצדדים.</w:t>
      </w:r>
    </w:p>
    <w:p>
      <w:pPr>
        <w:spacing w:after="80" w:line="254" w:lineRule="auto"/>
        <w:jc w:val="left"/>
        <w:bidi w:val="1"/>
      </w:pPr>
      <w:r>
        <w:rPr>
          <w:rFonts w:ascii="Arial" w:hAnsi="Arial"/>
          <w:color w:val="000000"/>
          <w:sz w:val="22"/>
          <w:rtl w:val="1"/>
          <w:szCs w:val="22"/>
        </w:rPr>
        <w:t>3.3  שכר כל בורר ואופן חישובו __________; דמי ניהול ___; מע״מ ___; תקרת תקציב ___; מועדי מקדמות ___; תנאי ביטול והחזר ___. תנאי שכר חתומים מצורפים.</w:t>
      </w:r>
    </w:p>
    <w:p>
      <w:pPr>
        <w:spacing w:after="80" w:line="254" w:lineRule="auto"/>
        <w:jc w:val="left"/>
        <w:bidi w:val="1"/>
      </w:pPr>
      <w:r>
        <w:rPr>
          <w:rFonts w:ascii="Arial" w:hAnsi="Arial"/>
          <w:color w:val="000000"/>
          <w:sz w:val="22"/>
          <w:rtl w:val="1"/>
          <w:szCs w:val="22"/>
        </w:rPr>
        <w:t>3.4  המזכירות מתאמת ומתעדת ואינה מכריעה. לא יועבר חומר מהותי לבורר ללא העתק לצד האחר. ייערך פרוטוקול או תיעוד מוסכם; כל צד יוכל לבקש תיקון טעות בתיעוד.</w:t>
      </w:r>
    </w:p>
    <w:p>
      <w:pPr>
        <w:pStyle w:val="Heading1"/>
        <w:spacing w:after="80" w:line="254" w:lineRule="auto" w:before="240"/>
        <w:jc w:val="left"/>
        <w:keepNext/>
        <w:bidi w:val="1"/>
      </w:pPr>
      <w:r>
        <w:rPr>
          <w:rFonts w:ascii="Arial" w:hAnsi="Arial"/>
          <w:b/>
          <w:color w:val="000000"/>
          <w:sz w:val="26"/>
          <w:rtl w:val="1"/>
          <w:szCs w:val="26"/>
        </w:rPr>
        <w:t>4 התחייבות וכללי הבוררות</w:t>
      </w:r>
    </w:p>
    <w:p>
      <w:pPr>
        <w:spacing w:after="80" w:line="254" w:lineRule="auto"/>
        <w:jc w:val="left"/>
        <w:bidi w:val="1"/>
      </w:pPr>
      <w:r>
        <w:rPr>
          <w:rFonts w:ascii="Arial" w:hAnsi="Arial"/>
          <w:color w:val="000000"/>
          <w:sz w:val="22"/>
          <w:rtl w:val="1"/>
          <w:szCs w:val="22"/>
        </w:rPr>
        <w:t>4.1  בחתימתם על הסכם זה הצדדים מסכימים ומתחייבים כבר עתה למסור לבוררות כל מחלוקת הנובעת ממנו או הקשורה לכריתתו, פרשנותו, ביצועו, הפרתו או סיומו, ככל שהעניין ניתן לבוררות לפי דין. הבוררות תתנהל באמצעות נתיב הוגן (FairPath), לפני הגשת תביעה לגוף המחלוקת לבית משפט. סעיף זה הוא הסכם בוררות בכתב ואינו מותנה בהסכמה מחודשת לאחר פרוץ המחלוקת.</w:t>
      </w:r>
    </w:p>
    <w:p>
      <w:pPr>
        <w:spacing w:after="80" w:line="254" w:lineRule="auto"/>
        <w:jc w:val="left"/>
        <w:bidi w:val="1"/>
      </w:pPr>
      <w:r>
        <w:rPr>
          <w:rFonts w:ascii="Arial" w:hAnsi="Arial"/>
          <w:color w:val="000000"/>
          <w:sz w:val="22"/>
          <w:rtl w:val="1"/>
          <w:szCs w:val="22"/>
        </w:rPr>
        <w:t>4.2  צד ימסור לצד האחר ולמזכירות נתיב הוגן הודעה מתועדת ובה ההסכם, תיאור המחלוקת והסעד המבוקש. הצדדים ינסו להגיע להסכמה ישירה בתוך 14 ימים מקבלת ההודעה; בהיעדר הסכמה יקדמו את מינוי הבוררים ללא דיחוי. גישור יתקיים רק בהסכמה ולא יהווה תנאי נוסף לבוררות.</w:t>
      </w:r>
    </w:p>
    <w:p>
      <w:pPr>
        <w:spacing w:after="80" w:line="254" w:lineRule="auto"/>
        <w:jc w:val="left"/>
        <w:bidi w:val="1"/>
      </w:pPr>
      <w:r>
        <w:rPr>
          <w:rFonts w:ascii="Arial" w:hAnsi="Arial"/>
          <w:color w:val="000000"/>
          <w:sz w:val="22"/>
          <w:rtl w:val="1"/>
          <w:szCs w:val="22"/>
        </w:rPr>
        <w:t>4.3  שני בוררים ייבחרו בהסכמה משותפת בתוך 14 ימים מתום תקופת ההידברות. כל בורר יהיה עצמאי, יגלה קשרים ועניין אישי ויקבל את אמון שני הצדדים. איש מהצדדים והמזכירות לא ימנו לבדם בורר. הצדדים רשאים להסכים בכתב על בורר יחיד.</w:t>
      </w:r>
    </w:p>
    <w:p>
      <w:pPr>
        <w:spacing w:after="80" w:line="254" w:lineRule="auto"/>
        <w:jc w:val="left"/>
        <w:bidi w:val="1"/>
      </w:pPr>
      <w:r>
        <w:rPr>
          <w:rFonts w:ascii="Arial" w:hAnsi="Arial"/>
          <w:color w:val="000000"/>
          <w:sz w:val="22"/>
          <w:rtl w:val="1"/>
          <w:szCs w:val="22"/>
        </w:rPr>
        <w:t>4.4  אם שני הבוררים לא יגיעו להכרעה מוסכמת, ימונה בורר שלישי בהסכמת הצדדים בתוך 14 ימים מהודעתם, והמותב המורחב יכריע ברוב דעות לאחר שנתן לצדדים זכות טיעון. אם לא הושלם מינוי, אם בורר אינו יכול לכהן, או אם נתיב הוגן אינה זמינה, יפעלו הצדדים למינוי או החלפה בהסכמה; בהיעדרה רשאי כל צד לבקש מינוי מהערכאה המוסמכת, בכפוף להודעה ולתנאים שבסעיף 8 לחוק הבוררות. חוסר שיתוף פעולה אינו מבטל את התחייבות הבוררות.</w:t>
      </w:r>
    </w:p>
    <w:p>
      <w:pPr>
        <w:spacing w:after="80" w:line="254" w:lineRule="auto"/>
        <w:jc w:val="left"/>
        <w:bidi w:val="1"/>
      </w:pPr>
      <w:r>
        <w:rPr>
          <w:rFonts w:ascii="Arial" w:hAnsi="Arial"/>
          <w:color w:val="000000"/>
          <w:sz w:val="22"/>
          <w:rtl w:val="1"/>
          <w:szCs w:val="22"/>
        </w:rPr>
        <w:t>4.5  יחולו דיני מדינת ישראל וחוק הבוררות, תשכ״ח-1968. הבוררים יפסקו לפי הדין המהותי, ייתנו פסק מנומק בכתב ויאפשרו לכל צד הזדמנות שווה להציג טענות, ראיות ותגובה לחומר הצד האחר. כל צד רשאי להסתייע בעורך דין. דיון מקוון יתקיים בהסכמה ותוך התאמות נגישות נחוצות.</w:t>
      </w:r>
    </w:p>
    <w:p>
      <w:pPr>
        <w:spacing w:after="80" w:line="254" w:lineRule="auto"/>
        <w:jc w:val="left"/>
        <w:bidi w:val="1"/>
      </w:pPr>
      <w:r>
        <w:rPr>
          <w:rFonts w:ascii="Arial" w:hAnsi="Arial"/>
          <w:color w:val="000000"/>
          <w:sz w:val="22"/>
          <w:rtl w:val="1"/>
          <w:szCs w:val="22"/>
        </w:rPr>
        <w:t>4.6  טרם קבלת המינוי יוצגו שכר הבוררים, דמי הניהול, אופן החישוב ותנאי הביטול ויאושרו בכתב בידי הצדדים. המקדמות יחולקו שווה בשווה אלא אם הוסכם אחרת; ההכרעה הסופית בהוצאות תהיה בידי הבוררים לאחר טיעון. לא יוחל תעריף עתידי או תקנון שלא צורף ואושר. היעדר הסכמה לעלות אינו מאפשר חיוב חד צדדי ויטופל במסגרת מנגנון המינוי.</w:t>
      </w:r>
    </w:p>
    <w:p>
      <w:pPr>
        <w:spacing w:after="80" w:line="254" w:lineRule="auto"/>
        <w:jc w:val="left"/>
        <w:bidi w:val="1"/>
      </w:pPr>
      <w:r>
        <w:rPr>
          <w:rFonts w:ascii="Arial" w:hAnsi="Arial"/>
          <w:color w:val="000000"/>
          <w:sz w:val="22"/>
          <w:rtl w:val="1"/>
          <w:szCs w:val="22"/>
        </w:rPr>
        <w:t>4.7  הצדדים ישמרו בסוד את חומרי ההליך, למעט גילוי הנדרש לפי דין, לייעוץ מקצועי, למבטח בכפוף לסודיות או לשם מימוש זכויות. אין הבטחה שהליך בבית משפט יישאר חסוי. פרסום מזוהה, הקלטה או שימוש בתוכן לאימון מערכת בינה מלאכותית ידרשו הסכמה נפרדת כדין.</w:t>
      </w:r>
    </w:p>
    <w:p>
      <w:pPr>
        <w:spacing w:after="80" w:line="254" w:lineRule="auto"/>
        <w:jc w:val="left"/>
        <w:bidi w:val="1"/>
      </w:pPr>
      <w:r>
        <w:rPr>
          <w:rFonts w:ascii="Arial" w:hAnsi="Arial"/>
          <w:color w:val="000000"/>
          <w:sz w:val="22"/>
          <w:rtl w:val="1"/>
          <w:szCs w:val="22"/>
        </w:rPr>
        <w:t>4.8  פסק הבוררות יחייב את הצדדים. לא נקבע ערעור פנימי כברירת מחדל; מסלול ערעור ייקבע רק בהסכם כתוב מתאים לדרישות הדין. נשמרות סמכויות בית המשפט לאישור הפסק, לביטולו, לאכיפתו ולפיקוח לפי הדין. אין בסעיף זה ויתור על זכות שאינה ניתנת להתניה.</w:t>
      </w:r>
    </w:p>
    <w:p>
      <w:pPr>
        <w:spacing w:after="80" w:line="254" w:lineRule="auto"/>
        <w:jc w:val="left"/>
        <w:bidi w:val="1"/>
      </w:pPr>
      <w:r>
        <w:rPr>
          <w:rFonts w:ascii="Arial" w:hAnsi="Arial"/>
          <w:color w:val="000000"/>
          <w:sz w:val="22"/>
          <w:rtl w:val="1"/>
          <w:szCs w:val="22"/>
        </w:rPr>
        <w:t>4.9  סעדים דחופים או זמניים, מניעת נזק, שמירת מועדים, מינוי בורר ועניינים שאינם בני בוררות ניתן להביא לערכאה המוסמכת ללא המתנה לסיום ההידברות. עצם הפנייה למזכירות אינה עוצרת התיישנות. חתימה על שטר מפורט בהמשך תסדיר פרטים בלבד ולא תהווה תנאי לתוקף התחייבות זו. הסעיף יוסיף לחול גם לאחר סיום ההסכם.</w:t>
      </w:r>
    </w:p>
    <w:p>
      <w:pPr>
        <w:pStyle w:val="Heading1"/>
        <w:spacing w:after="80" w:line="254" w:lineRule="auto" w:before="240"/>
        <w:jc w:val="left"/>
        <w:keepNext/>
        <w:bidi w:val="1"/>
      </w:pPr>
      <w:r>
        <w:rPr>
          <w:rFonts w:ascii="Arial" w:hAnsi="Arial"/>
          <w:b/>
          <w:color w:val="000000"/>
          <w:sz w:val="26"/>
          <w:rtl w:val="1"/>
          <w:szCs w:val="26"/>
        </w:rPr>
        <w:t>5 ערעור ופסק</w:t>
      </w:r>
    </w:p>
    <w:p>
      <w:pPr>
        <w:spacing w:after="80" w:line="254" w:lineRule="auto"/>
        <w:jc w:val="left"/>
        <w:bidi w:val="1"/>
      </w:pPr>
      <w:r>
        <w:rPr>
          <w:rFonts w:ascii="Arial" w:hAnsi="Arial"/>
          <w:color w:val="000000"/>
          <w:sz w:val="22"/>
          <w:rtl w:val="1"/>
          <w:szCs w:val="22"/>
        </w:rPr>
        <w:t>5.1  ברירת המחדל היא ללא ערעור פנימי. אם מבוקש מסלול לפי סעיף 21א או סעיף 29ב לחוק הבוררות, יש לצרף לפני תחילת ההליך הסכם מתאים ומפורט לאחר בדיקה משפטית; אין לבחור בשני מסלולים סותרים. אין בסימון בלבד יצירת מסלול שאינו עומד בדרישות הדין.</w:t>
      </w:r>
    </w:p>
    <w:p>
      <w:pPr>
        <w:spacing w:after="80" w:line="254" w:lineRule="auto"/>
        <w:jc w:val="left"/>
        <w:bidi w:val="1"/>
      </w:pPr>
      <w:r>
        <w:rPr>
          <w:rFonts w:ascii="Arial" w:hAnsi="Arial"/>
          <w:color w:val="000000"/>
          <w:sz w:val="22"/>
          <w:rtl w:val="1"/>
          <w:szCs w:val="22"/>
        </w:rPr>
        <w:t>5.2  הפסק יומצא באופן מתועד לשני הצדדים. בקשות תיקון, אישור, ביטול, ערעור או אכיפה יוגשו במועדים ובתנאים שבדין. אין להסתמך על פנייה למזכירות לשם עצירת מועד.</w:t>
      </w:r>
    </w:p>
    <w:p>
      <w:pPr>
        <w:pStyle w:val="Heading1"/>
        <w:spacing w:after="80" w:line="254" w:lineRule="auto" w:before="240"/>
        <w:jc w:val="left"/>
        <w:keepNext/>
        <w:bidi w:val="1"/>
      </w:pPr>
      <w:r>
        <w:rPr>
          <w:rFonts w:ascii="Arial" w:hAnsi="Arial"/>
          <w:b/>
          <w:color w:val="000000"/>
          <w:sz w:val="26"/>
          <w:rtl w:val="1"/>
          <w:szCs w:val="26"/>
        </w:rPr>
        <w:t>אישור וחתימות</w:t>
      </w:r>
    </w:p>
    <w:p>
      <w:pPr>
        <w:spacing w:after="80" w:line="254" w:lineRule="auto"/>
        <w:jc w:val="left"/>
        <w:bidi w:val="1"/>
      </w:pPr>
      <w:r>
        <w:rPr>
          <w:rFonts w:ascii="Arial" w:hAnsi="Arial"/>
          <w:color w:val="000000"/>
          <w:sz w:val="22"/>
          <w:rtl w:val="1"/>
          <w:szCs w:val="22"/>
        </w:rPr>
        <w:t>הצדדים קראו את ההסכם, ובפרט את ההתחייבות לבוררות באמצעות נתיב הוגן, הבינו את משמעותה וקיבלו אפשרות לייעוץ עצמאי. כל צד יקבל עותק חתום. התחייבות הבוררות היא חלק מההסכם שנחתם.</w:t>
      </w:r>
    </w:p>
    <w:p>
      <w:pPr>
        <w:spacing w:after="80" w:line="254" w:lineRule="auto"/>
        <w:jc w:val="left"/>
        <w:bidi w:val="1"/>
      </w:pPr>
      <w:r>
        <w:rPr>
          <w:rFonts w:ascii="Arial" w:hAnsi="Arial"/>
          <w:color w:val="000000"/>
          <w:sz w:val="22"/>
          <w:rtl w:val="1"/>
          <w:szCs w:val="22"/>
        </w:rPr>
        <w:t>צד א: שם __________ חתימה __________ תאריך __________</w:t>
      </w:r>
    </w:p>
    <w:p>
      <w:pPr>
        <w:spacing w:after="80" w:line="254" w:lineRule="auto"/>
        <w:jc w:val="left"/>
        <w:bidi w:val="1"/>
      </w:pPr>
      <w:r>
        <w:rPr>
          <w:rFonts w:ascii="Arial" w:hAnsi="Arial"/>
          <w:color w:val="000000"/>
          <w:sz w:val="22"/>
          <w:rtl w:val="1"/>
          <w:szCs w:val="22"/>
        </w:rPr>
        <w:t>צד ב: שם __________ חתימה __________ תאריך __________</w:t>
      </w:r>
    </w:p>
    <w:p>
      <w:pPr>
        <w:pStyle w:val="Heading1"/>
        <w:spacing w:after="80" w:line="254" w:lineRule="auto" w:before="240"/>
        <w:jc w:val="left"/>
        <w:keepNext/>
        <w:bidi w:val="1"/>
      </w:pPr>
      <w:r>
        <w:rPr>
          <w:rFonts w:ascii="Arial" w:hAnsi="Arial"/>
          <w:b/>
          <w:color w:val="000000"/>
          <w:sz w:val="26"/>
          <w:rtl w:val="1"/>
          <w:szCs w:val="26"/>
        </w:rPr>
        <w:t>אישור קבלת תפקיד של הבוררים</w:t>
      </w:r>
    </w:p>
    <w:p>
      <w:pPr>
        <w:spacing w:after="80" w:line="254" w:lineRule="auto"/>
        <w:jc w:val="left"/>
        <w:bidi w:val="1"/>
      </w:pPr>
      <w:r>
        <w:rPr>
          <w:rFonts w:ascii="Arial" w:hAnsi="Arial"/>
          <w:color w:val="000000"/>
          <w:sz w:val="22"/>
          <w:rtl w:val="1"/>
          <w:szCs w:val="22"/>
        </w:rPr>
        <w:t>אני מקבל/ת את המינוי ואת כללי השטר ומצרף/ת גילוי קשרים ועניין אישי.</w:t>
      </w:r>
    </w:p>
    <w:p>
      <w:pPr>
        <w:spacing w:after="80" w:line="254" w:lineRule="auto"/>
        <w:jc w:val="left"/>
        <w:bidi w:val="1"/>
      </w:pPr>
      <w:r>
        <w:rPr>
          <w:rFonts w:ascii="Arial" w:hAnsi="Arial"/>
          <w:color w:val="000000"/>
          <w:sz w:val="22"/>
          <w:rtl w:val="1"/>
          <w:szCs w:val="22"/>
        </w:rPr>
        <w:t>בורר ראשון: שם __________ חתימה __________ תאריך __________</w:t>
      </w:r>
    </w:p>
    <w:p>
      <w:pPr>
        <w:spacing w:after="80" w:line="254" w:lineRule="auto"/>
        <w:jc w:val="left"/>
        <w:bidi w:val="1"/>
      </w:pPr>
      <w:r>
        <w:rPr>
          <w:rFonts w:ascii="Arial" w:hAnsi="Arial"/>
          <w:color w:val="000000"/>
          <w:sz w:val="22"/>
          <w:rtl w:val="1"/>
          <w:szCs w:val="22"/>
        </w:rPr>
        <w:t>בורר שני: שם __________ חתימה __________ תאריך __________</w:t>
      </w:r>
    </w:p>
    <w:sectPr w:rsidR="00FC693F" w:rsidRPr="0006063C" w:rsidSect="00034616">
      <w:headerReference w:type="default" r:id="rId9"/>
      <w:footerReference w:type="default" r:id="rId10"/>
      <w:pgSz w:w="12240" w:h="15840"/>
      <w:pgMar w:top="936" w:right="1008" w:bottom="1008" w:left="1008"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bidi w:val="1"/>
    </w:pPr>
    <w:r>
      <w:rPr>
        <w:rFonts w:ascii="Arial" w:hAnsi="Arial" w:cs="Arial"/>
        <w:b w:val="0"/>
        <w:color w:val="5C707B"/>
        <w:sz w:val="16"/>
        <w:rtl w:val="1"/>
      </w:rPr>
      <w:t>תבנית להמחשה בלבד · מומלץ לקבל ייעוץ משפטי לפני חתימה</w:t>
    </w:r>
    <w:r>
      <w:rPr/>
      <w:t xml:space="preserve">fairpath.uk  </w:t>
    </w:r>
    <w:r>
      <w:drawing>
        <wp:inline xmlns:a="http://schemas.openxmlformats.org/drawingml/2006/main" xmlns:pic="http://schemas.openxmlformats.org/drawingml/2006/picture">
          <wp:extent cx="438912" cy="438912"/>
          <wp:docPr id="1" name="Picture 1"/>
          <wp:cNvGraphicFramePr>
            <a:graphicFrameLocks noChangeAspect="1"/>
          </wp:cNvGraphicFramePr>
          <a:graphic>
            <a:graphicData uri="http://schemas.openxmlformats.org/drawingml/2006/picture">
              <pic:pic>
                <pic:nvPicPr>
                  <pic:cNvPr id="0" name="image.png"/>
                  <pic:cNvPicPr/>
                </pic:nvPicPr>
                <pic:blipFill>
                  <a:blip r:embed="rId1"/>
                  <a:stretch>
                    <a:fillRect/>
                  </a:stretch>
                </pic:blipFill>
                <pic:spPr>
                  <a:xfrm>
                    <a:off x="0" y="0"/>
                    <a:ext cx="438912" cy="438912"/>
                  </a:xfrm>
                  <a:prstGeom prst="rect"/>
                </pic:spPr>
              </pic:pic>
            </a:graphicData>
          </a:graphic>
        </wp:inline>
      </w:drawing>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bidi w:val="1"/>
    </w:pPr>
    <w:r>
      <w:rPr>
        <w:rFonts w:ascii="Arial" w:hAnsi="Arial" w:cs="Arial"/>
        <w:b/>
        <w:color w:val="000000"/>
        <w:sz w:val="18"/>
        <w:rtl w:val="1"/>
      </w:rPr>
      <w:t>FairPath  |  טפסים וחוזים</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olor w:val="00000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