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69" w:lineRule="auto"/>
        <w:jc w:val="left"/>
        <w:bidi w:val="1"/>
      </w:pPr>
      <w:r>
        <w:rPr>
          <w:rFonts w:ascii="Arial" w:hAnsi="Arial"/>
          <w:b/>
          <w:color w:val="000000"/>
          <w:sz w:val="44"/>
          <w:rtl w:val="1"/>
          <w:szCs w:val="44"/>
        </w:rPr>
        <w:t>הזמנה מורחבת לשירותי תיווך במקרקעין</w:t>
      </w:r>
    </w:p>
    <w:p>
      <w:pPr>
        <w:spacing w:after="120" w:line="269" w:lineRule="auto"/>
        <w:jc w:val="left"/>
        <w:bidi w:val="1"/>
      </w:pPr>
      <w:r>
        <w:rPr>
          <w:rFonts w:ascii="Arial" w:hAnsi="Arial"/>
          <w:color w:val="000000"/>
          <w:sz w:val="22"/>
          <w:rtl w:val="1"/>
          <w:szCs w:val="22"/>
        </w:rPr>
        <w:t>נתיב הוגן | FairPath | גרסה מיום 9 בספטמבר 2026</w:t>
      </w:r>
    </w:p>
    <w:p>
      <w:pPr>
        <w:spacing w:after="120" w:line="269" w:lineRule="auto"/>
        <w:jc w:val="left"/>
        <w:bidi w:val="1"/>
      </w:pPr>
      <w:r>
        <w:rPr>
          <w:rFonts w:ascii="Arial" w:hAnsi="Arial"/>
          <w:color w:val="000000"/>
          <w:sz w:val="22"/>
          <w:rtl w:val="1"/>
          <w:szCs w:val="22"/>
        </w:rPr>
        <w:t>תבנית מורחבת להתאמה ולבדיקה משפטית לפני חתימה. יש להשלים שדות, למחוק חלופות שאינן מתאימות ולחתום על כל הנספחים.</w:t>
      </w:r>
    </w:p>
    <w:p>
      <w:pPr>
        <w:spacing w:after="120" w:line="269" w:lineRule="auto"/>
        <w:jc w:val="left"/>
        <w:bidi w:val="1"/>
      </w:pPr>
      <w:r>
        <w:rPr>
          <w:rFonts w:ascii="Arial" w:hAnsi="Arial"/>
          <w:color w:val="000000"/>
          <w:sz w:val="22"/>
          <w:rtl w:val="1"/>
          <w:szCs w:val="22"/>
        </w:rPr>
        <w:t>הזמנה בכתב לשירותי תיווך בנכס מזוהה. אינה חוזה מכר או שכירות. בלעדיות, אם מבוקשת, טעונה מסמך נפרד בהתאם לדין.</w:t>
      </w:r>
    </w:p>
    <w:p>
      <w:pPr>
        <w:pStyle w:val="Heading1"/>
        <w:spacing w:after="120" w:line="269" w:lineRule="auto" w:before="240"/>
        <w:jc w:val="left"/>
        <w:keepNext/>
        <w:bidi w:val="1"/>
      </w:pPr>
      <w:r>
        <w:rPr>
          <w:rFonts w:ascii="Arial" w:hAnsi="Arial"/>
          <w:b/>
          <w:color w:val="000000"/>
          <w:sz w:val="26"/>
          <w:rtl w:val="1"/>
          <w:szCs w:val="26"/>
        </w:rPr>
        <w:t>1 פרטי הצדדים וההתקשרות</w:t>
      </w:r>
    </w:p>
    <w:p>
      <w:pPr>
        <w:spacing w:after="120" w:line="269" w:lineRule="auto"/>
        <w:jc w:val="left"/>
        <w:bidi w:val="1"/>
      </w:pPr>
      <w:r>
        <w:rPr>
          <w:rFonts w:ascii="Arial" w:hAnsi="Arial"/>
          <w:color w:val="000000"/>
          <w:sz w:val="22"/>
          <w:rtl w:val="1"/>
          <w:szCs w:val="22"/>
        </w:rPr>
        <w:t>1.1  נחתם ביום __________ במקום __________.</w:t>
      </w:r>
    </w:p>
    <w:p>
      <w:pPr>
        <w:spacing w:after="120" w:line="269" w:lineRule="auto"/>
        <w:jc w:val="left"/>
        <w:bidi w:val="1"/>
      </w:pPr>
      <w:r>
        <w:rPr>
          <w:rFonts w:ascii="Arial" w:hAnsi="Arial"/>
          <w:color w:val="000000"/>
          <w:sz w:val="22"/>
          <w:rtl w:val="1"/>
          <w:szCs w:val="22"/>
        </w:rPr>
        <w:t>1.2  המתווך: שם מלא __________ מספר זיהוי __________ מען __________</w:t>
      </w:r>
    </w:p>
    <w:p>
      <w:pPr>
        <w:spacing w:after="120" w:line="269" w:lineRule="auto"/>
        <w:jc w:val="left"/>
        <w:bidi w:val="1"/>
      </w:pPr>
      <w:r>
        <w:rPr>
          <w:rFonts w:ascii="Arial" w:hAnsi="Arial"/>
          <w:color w:val="000000"/>
          <w:sz w:val="22"/>
          <w:rtl w:val="1"/>
          <w:szCs w:val="22"/>
        </w:rPr>
        <w:t>1.3  דוא״ל __________ טלפון __________ נציג מוסמך ותפקידו __________</w:t>
      </w:r>
    </w:p>
    <w:p>
      <w:pPr>
        <w:spacing w:after="120" w:line="269" w:lineRule="auto"/>
        <w:jc w:val="left"/>
        <w:bidi w:val="1"/>
      </w:pPr>
      <w:r>
        <w:rPr>
          <w:rFonts w:ascii="Arial" w:hAnsi="Arial"/>
          <w:color w:val="000000"/>
          <w:sz w:val="22"/>
          <w:rtl w:val="1"/>
          <w:szCs w:val="22"/>
        </w:rPr>
        <w:t>1.4  הלקוח: שם מלא __________ מספר זיהוי __________ מען __________</w:t>
      </w:r>
    </w:p>
    <w:p>
      <w:pPr>
        <w:spacing w:after="120" w:line="269" w:lineRule="auto"/>
        <w:jc w:val="left"/>
        <w:bidi w:val="1"/>
      </w:pPr>
      <w:r>
        <w:rPr>
          <w:rFonts w:ascii="Arial" w:hAnsi="Arial"/>
          <w:color w:val="000000"/>
          <w:sz w:val="22"/>
          <w:rtl w:val="1"/>
          <w:szCs w:val="22"/>
        </w:rPr>
        <w:t>1.5  דוא״ל __________ טלפון __________ נציג מוסמך ותפקידו __________</w:t>
      </w:r>
    </w:p>
    <w:p>
      <w:pPr>
        <w:spacing w:after="120" w:line="269" w:lineRule="auto"/>
        <w:jc w:val="left"/>
        <w:bidi w:val="1"/>
      </w:pPr>
      <w:r>
        <w:rPr>
          <w:rFonts w:ascii="Arial" w:hAnsi="Arial"/>
          <w:color w:val="000000"/>
          <w:sz w:val="22"/>
          <w:rtl w:val="1"/>
          <w:szCs w:val="22"/>
        </w:rPr>
        <w:t>1.6  החותמים בשם תאגיד מצהירים כי הם מוסמכים להתחייב בשמו. יש לצרף אישור הרשאה לפי הצורך.</w:t>
      </w:r>
    </w:p>
    <w:p>
      <w:pPr>
        <w:pStyle w:val="Heading1"/>
        <w:spacing w:after="120" w:line="269" w:lineRule="auto" w:before="240"/>
        <w:jc w:val="left"/>
        <w:keepNext/>
        <w:bidi w:val="1"/>
      </w:pPr>
      <w:r>
        <w:rPr>
          <w:rFonts w:ascii="Arial" w:hAnsi="Arial"/>
          <w:b/>
          <w:color w:val="000000"/>
          <w:sz w:val="26"/>
          <w:rtl w:val="1"/>
          <w:szCs w:val="26"/>
        </w:rPr>
        <w:t>2 רישיון והנכס</w:t>
      </w:r>
    </w:p>
    <w:p>
      <w:pPr>
        <w:spacing w:after="120" w:line="269" w:lineRule="auto"/>
        <w:jc w:val="left"/>
        <w:bidi w:val="1"/>
      </w:pPr>
      <w:r>
        <w:rPr>
          <w:rFonts w:ascii="Arial" w:hAnsi="Arial"/>
          <w:color w:val="000000"/>
          <w:sz w:val="22"/>
          <w:rtl w:val="1"/>
          <w:szCs w:val="22"/>
        </w:rPr>
        <w:t>2.1  שם המתווך בעל הרישיון __________ מספר רישיון __________ תוקף במועד ההתקשרות __________. שם העסק ומספר עוסק __________. כתובת המתווך למסירת הודעות __________.</w:t>
      </w:r>
    </w:p>
    <w:p>
      <w:pPr>
        <w:spacing w:after="120" w:line="269" w:lineRule="auto"/>
        <w:jc w:val="left"/>
        <w:bidi w:val="1"/>
      </w:pPr>
      <w:r>
        <w:rPr>
          <w:rFonts w:ascii="Arial" w:hAnsi="Arial"/>
          <w:color w:val="000000"/>
          <w:sz w:val="22"/>
          <w:rtl w:val="1"/>
          <w:szCs w:val="22"/>
        </w:rPr>
        <w:t>2.2  סוג העסקה: מכירה / רכישה / שכירות / השכרה / אחרת ___. כתובת הנכס ___ גוש ___ חלקה ___ תת חלקה ___; תיאור הנכס, שטח והצמדות __________. מחיר העסקה המבוקש בקירוב ___ ש״ח. לכל נכס נוסף תיחתם רשומה נפרדת עם פרטי החובה.</w:t>
      </w:r>
    </w:p>
    <w:p>
      <w:pPr>
        <w:pStyle w:val="Heading1"/>
        <w:spacing w:after="120" w:line="269" w:lineRule="auto" w:before="240"/>
        <w:jc w:val="left"/>
        <w:keepNext/>
        <w:bidi w:val="1"/>
      </w:pPr>
      <w:r>
        <w:rPr>
          <w:rFonts w:ascii="Arial" w:hAnsi="Arial"/>
          <w:b/>
          <w:color w:val="000000"/>
          <w:sz w:val="26"/>
          <w:rtl w:val="1"/>
          <w:szCs w:val="26"/>
        </w:rPr>
        <w:t>3 שירותי המתווך וחובות גילוי</w:t>
      </w:r>
    </w:p>
    <w:p>
      <w:pPr>
        <w:spacing w:after="120" w:line="269" w:lineRule="auto"/>
        <w:jc w:val="left"/>
        <w:bidi w:val="1"/>
      </w:pPr>
      <w:r>
        <w:rPr>
          <w:rFonts w:ascii="Arial" w:hAnsi="Arial"/>
          <w:color w:val="000000"/>
          <w:sz w:val="22"/>
          <w:rtl w:val="1"/>
          <w:szCs w:val="22"/>
        </w:rPr>
        <w:t>3.1  המתווך יפעל במיומנות, בהגינות ובזהירות סבירה לאיתור צד מתאים, תיאום ביקורים ומסירת מידע מהותי הידוע לו, וינקוט אמצעים סבירים לקבלת מידע מהותי בהתאם לדין. תיעוד הצגת הנכס יימסר ללקוח.</w:t>
      </w:r>
    </w:p>
    <w:p>
      <w:pPr>
        <w:spacing w:after="120" w:line="269" w:lineRule="auto"/>
        <w:jc w:val="left"/>
        <w:bidi w:val="1"/>
      </w:pPr>
      <w:r>
        <w:rPr>
          <w:rFonts w:ascii="Arial" w:hAnsi="Arial"/>
          <w:color w:val="000000"/>
          <w:sz w:val="22"/>
          <w:rtl w:val="1"/>
          <w:szCs w:val="22"/>
        </w:rPr>
        <w:t>3.2  עניין אישי בנכס, קשר לצד אחר, ייצוג שני צדדים או תמורה מגורם נוסף יימסרו בכתב לפני הפעולה ויתקבלו הסכמות ככל שנדרשות בדין. אין בהסכם ויתור על חובות הגילוי והנאמנות.</w:t>
      </w:r>
    </w:p>
    <w:p>
      <w:pPr>
        <w:spacing w:after="120" w:line="269" w:lineRule="auto"/>
        <w:jc w:val="left"/>
        <w:bidi w:val="1"/>
      </w:pPr>
      <w:r>
        <w:rPr>
          <w:rFonts w:ascii="Arial" w:hAnsi="Arial"/>
          <w:color w:val="000000"/>
          <w:sz w:val="22"/>
          <w:rtl w:val="1"/>
          <w:szCs w:val="22"/>
        </w:rPr>
        <w:t>3.3  המתווך לא יערוך מסמכים משפטיים ולא ייצג לקוח במשא ומתן משפטי במקום עורך דין. בדיקות קניין, תכנון, מיסוי, שמאות ומצב הנכס יבוצעו בידי בעלי מקצוע מתאימים. הפניה אליהם אינה פוטרת את המתווך מחובותיו.</w:t>
      </w:r>
    </w:p>
    <w:p>
      <w:pPr>
        <w:pStyle w:val="Heading1"/>
        <w:spacing w:after="120" w:line="269" w:lineRule="auto" w:before="240"/>
        <w:jc w:val="left"/>
        <w:keepNext/>
        <w:bidi w:val="1"/>
      </w:pPr>
      <w:r>
        <w:rPr>
          <w:rFonts w:ascii="Arial" w:hAnsi="Arial"/>
          <w:b/>
          <w:color w:val="000000"/>
          <w:sz w:val="26"/>
          <w:rtl w:val="1"/>
          <w:szCs w:val="26"/>
        </w:rPr>
        <w:t>4 דמי תיווך ותנאי זכאות</w:t>
      </w:r>
    </w:p>
    <w:p>
      <w:pPr>
        <w:spacing w:after="120" w:line="269" w:lineRule="auto"/>
        <w:jc w:val="left"/>
        <w:bidi w:val="1"/>
      </w:pPr>
      <w:r>
        <w:rPr>
          <w:rFonts w:ascii="Arial" w:hAnsi="Arial"/>
          <w:color w:val="000000"/>
          <w:sz w:val="22"/>
          <w:rtl w:val="1"/>
          <w:szCs w:val="22"/>
        </w:rPr>
        <w:t>4.1  יש לבחור ולמלא: סכום קבוע ___ ש״ח / שיעור ___ אחוז ממחיר העסקה שייחתם. בסיס החישוב בשכירות: __________. יש לסמן: הסכום כולל מע״מ / בתוספת מע״מ כדין. מועד התשלום המוסכם __________.</w:t>
      </w:r>
    </w:p>
    <w:p>
      <w:pPr>
        <w:spacing w:after="120" w:line="269" w:lineRule="auto"/>
        <w:jc w:val="left"/>
        <w:bidi w:val="1"/>
      </w:pPr>
      <w:r>
        <w:rPr>
          <w:rFonts w:ascii="Arial" w:hAnsi="Arial"/>
          <w:color w:val="000000"/>
          <w:sz w:val="22"/>
          <w:rtl w:val="1"/>
          <w:szCs w:val="22"/>
        </w:rPr>
        <w:t>4.2  זכאות לדמי תיווך מותנית בהתקיימות תנאי הדין, לרבות רישיון תקף כשנדרש, הזמנה חתומה הכוללת את פרטי החובה והיות המתווך הגורם היעיל להתקשרות בעסקה מחייבת. הצגת נכס לבדה אינה יוצרת זכאות בלתי מותנית.</w:t>
      </w:r>
    </w:p>
    <w:p>
      <w:pPr>
        <w:spacing w:after="120" w:line="269" w:lineRule="auto"/>
        <w:jc w:val="left"/>
        <w:bidi w:val="1"/>
      </w:pPr>
      <w:r>
        <w:rPr>
          <w:rFonts w:ascii="Arial" w:hAnsi="Arial"/>
          <w:color w:val="000000"/>
          <w:sz w:val="22"/>
          <w:rtl w:val="1"/>
          <w:szCs w:val="22"/>
        </w:rPr>
        <w:t>4.3  אין חיוב אוטומטי בדמי תיווך עבור כל עסקה עתידית, בן משפחה או נכס אחר. מחלוקת על זהות הגורם היעיל, סיום או ביטול עסקה תיבחן לפי הדין והנסיבות. הוצאות פרסום רגילות כלולות; הוצאה חריגה דורשת אישור כתוב בסכום נקוב.</w:t>
      </w:r>
    </w:p>
    <w:p>
      <w:pPr>
        <w:pStyle w:val="Heading1"/>
        <w:spacing w:after="120" w:line="269" w:lineRule="auto" w:before="240"/>
        <w:jc w:val="left"/>
        <w:keepNext/>
        <w:bidi w:val="1"/>
      </w:pPr>
      <w:r>
        <w:rPr>
          <w:rFonts w:ascii="Arial" w:hAnsi="Arial"/>
          <w:b/>
          <w:color w:val="000000"/>
          <w:sz w:val="26"/>
          <w:rtl w:val="1"/>
          <w:szCs w:val="26"/>
        </w:rPr>
        <w:t>5 תקופה ובלעדיות</w:t>
      </w:r>
    </w:p>
    <w:p>
      <w:pPr>
        <w:spacing w:after="120" w:line="269" w:lineRule="auto"/>
        <w:jc w:val="left"/>
        <w:bidi w:val="1"/>
      </w:pPr>
      <w:r>
        <w:rPr>
          <w:rFonts w:ascii="Arial" w:hAnsi="Arial"/>
          <w:color w:val="000000"/>
          <w:sz w:val="22"/>
          <w:rtl w:val="1"/>
          <w:szCs w:val="22"/>
        </w:rPr>
        <w:t>5.1  תקופת ההזמנה מיום ___ עד יום ___. אין בלעדיות מכוח מסמך זה. אם הוסכמה בלעדיות, ייחתמו בנפרד תקופתה ופעולות השיווק בהתאם לדין ולמגבלותיו, ולא באמצעות סימון כללי בלבד.</w:t>
      </w:r>
    </w:p>
    <w:p>
      <w:pPr>
        <w:spacing w:after="120" w:line="269" w:lineRule="auto"/>
        <w:jc w:val="left"/>
        <w:bidi w:val="1"/>
      </w:pPr>
      <w:r>
        <w:rPr>
          <w:rFonts w:ascii="Arial" w:hAnsi="Arial"/>
          <w:color w:val="000000"/>
          <w:sz w:val="22"/>
          <w:rtl w:val="1"/>
          <w:szCs w:val="22"/>
        </w:rPr>
        <w:t>5.2  פעולות שיווק מתוכננות: __________. פרסום כתובת מדויקת, תמונות מזהות או ביקור בנכס ייעשו בהרשאה ותיאום. הלקוח רשאי למסור מגבלות פרטיות סבירות: __________.</w:t>
      </w:r>
    </w:p>
    <w:p>
      <w:pPr>
        <w:spacing w:after="120" w:line="269" w:lineRule="auto"/>
        <w:jc w:val="left"/>
        <w:bidi w:val="1"/>
      </w:pPr>
      <w:r>
        <w:rPr>
          <w:rFonts w:ascii="Arial" w:hAnsi="Arial"/>
          <w:color w:val="000000"/>
          <w:sz w:val="22"/>
          <w:rtl w:val="1"/>
          <w:szCs w:val="22"/>
        </w:rPr>
        <w:t>5.3  כל צד רשאי להודיע על סיום ההזמנה, בכפוף להסדר בלעדיות תקף ולדין. זכאות שהתגבשה כדין לפני הסיום נשמרת; אין קנס סיום שלא הוסכם ושמותר לגבותו.</w:t>
      </w:r>
    </w:p>
    <w:p>
      <w:pPr>
        <w:pStyle w:val="Heading1"/>
        <w:spacing w:after="120" w:line="269" w:lineRule="auto" w:before="240"/>
        <w:jc w:val="left"/>
        <w:keepNext/>
        <w:bidi w:val="1"/>
      </w:pPr>
      <w:r>
        <w:rPr>
          <w:rFonts w:ascii="Arial" w:hAnsi="Arial"/>
          <w:b/>
          <w:color w:val="000000"/>
          <w:sz w:val="26"/>
          <w:rtl w:val="1"/>
          <w:szCs w:val="26"/>
        </w:rPr>
        <w:t>6 שיתוף פעולה והגנת מידע</w:t>
      </w:r>
    </w:p>
    <w:p>
      <w:pPr>
        <w:spacing w:after="120" w:line="269" w:lineRule="auto"/>
        <w:jc w:val="left"/>
        <w:bidi w:val="1"/>
      </w:pPr>
      <w:r>
        <w:rPr>
          <w:rFonts w:ascii="Arial" w:hAnsi="Arial"/>
          <w:color w:val="000000"/>
          <w:sz w:val="22"/>
          <w:rtl w:val="1"/>
          <w:szCs w:val="22"/>
        </w:rPr>
        <w:t>6.1  הלקוח ימסור מידע מהותי הידוע לו ויודיע על התקדמות עסקה בנכס שהוצג. אין בכך חובה לוותר על ייעוץ עצמאי, לבחור צד מסוים או לחתום על עסקה שאינו מעוניין בה.</w:t>
      </w:r>
    </w:p>
    <w:p>
      <w:pPr>
        <w:spacing w:after="120" w:line="269" w:lineRule="auto"/>
        <w:jc w:val="left"/>
        <w:bidi w:val="1"/>
      </w:pPr>
      <w:r>
        <w:rPr>
          <w:rFonts w:ascii="Arial" w:hAnsi="Arial"/>
          <w:color w:val="000000"/>
          <w:sz w:val="22"/>
          <w:rtl w:val="1"/>
          <w:szCs w:val="22"/>
        </w:rPr>
        <w:t>6.2  פרטי הלקוח ייעשה בהם שימוש לצורך ההזמנה בלבד, אלא אם קיימת הרשאה נפרדת כדין. העברת מידע לצד עסקה תוגבל לנדרש. דיוור שיווקי לא יותנה בקבלת שירותי התיווך.</w:t>
      </w:r>
    </w:p>
    <w:p>
      <w:pPr>
        <w:spacing w:after="120" w:line="269" w:lineRule="auto"/>
        <w:jc w:val="left"/>
        <w:bidi w:val="1"/>
      </w:pPr>
      <w:r>
        <w:rPr>
          <w:rFonts w:ascii="Arial" w:hAnsi="Arial"/>
          <w:color w:val="000000"/>
          <w:sz w:val="22"/>
          <w:rtl w:val="1"/>
          <w:szCs w:val="22"/>
        </w:rPr>
        <w:t>6.3  כל צד אחראי לנזק שגרם לפי דין. אין בהזמנה ויתור גורף של הלקוח על תביעה או הסכמה לפיצוי בלתי מוגבל. זכויות צרכן והוראות מחייבות גוברות.</w:t>
      </w:r>
    </w:p>
    <w:p>
      <w:pPr>
        <w:pStyle w:val="Heading1"/>
        <w:spacing w:after="120" w:line="269" w:lineRule="auto" w:before="240"/>
        <w:jc w:val="left"/>
        <w:keepNext/>
        <w:bidi w:val="1"/>
      </w:pPr>
      <w:r>
        <w:rPr>
          <w:rFonts w:ascii="Arial" w:hAnsi="Arial"/>
          <w:b/>
          <w:color w:val="000000"/>
          <w:sz w:val="26"/>
          <w:rtl w:val="1"/>
          <w:szCs w:val="26"/>
        </w:rPr>
        <w:t>7 התחייבות לבוררות באמצעות נתיב הוגן</w:t>
      </w:r>
    </w:p>
    <w:p>
      <w:pPr>
        <w:spacing w:after="120" w:line="269" w:lineRule="auto"/>
        <w:jc w:val="left"/>
        <w:bidi w:val="1"/>
      </w:pPr>
      <w:r>
        <w:rPr>
          <w:rFonts w:ascii="Arial" w:hAnsi="Arial"/>
          <w:color w:val="000000"/>
          <w:sz w:val="22"/>
          <w:rtl w:val="1"/>
          <w:szCs w:val="22"/>
        </w:rPr>
        <w:t>7.1  בחתימתם על הסכם זה הצדדים מסכימים ומתחייבים כבר עתה למסור לבוררות כל מחלוקת הנובעת ממנו או הקשורה לכריתתו, פרשנותו, ביצועו, הפרתו או סיומו, ככל שהעניין ניתן לבוררות לפי דין. הבוררות תתנהל באמצעות נתיב הוגן (FairPath), לפני הגשת תביעה לגוף המחלוקת לבית משפט. סעיף זה הוא הסכם בוררות בכתב ואינו מותנה בהסכמה מחודשת לאחר פרוץ המחלוקת.</w:t>
      </w:r>
    </w:p>
    <w:p>
      <w:pPr>
        <w:spacing w:after="120" w:line="269" w:lineRule="auto"/>
        <w:jc w:val="left"/>
        <w:bidi w:val="1"/>
      </w:pPr>
      <w:r>
        <w:rPr>
          <w:rFonts w:ascii="Arial" w:hAnsi="Arial"/>
          <w:color w:val="000000"/>
          <w:sz w:val="22"/>
          <w:rtl w:val="1"/>
          <w:szCs w:val="22"/>
        </w:rPr>
        <w:t>7.2  צד ימסור לצד האחר ולמזכירות נתיב הוגן הודעה מתועדת ובה ההסכם, תיאור המחלוקת והסעד המבוקש. הצדדים ינסו להגיע להסכמה ישירה בתוך 14 ימים מקבלת ההודעה; בהיעדר הסכמה יקדמו את מינוי הבוררים ללא דיחוי. גישור יתקיים רק בהסכמה ולא יהווה תנאי נוסף לבוררות.</w:t>
      </w:r>
    </w:p>
    <w:p>
      <w:pPr>
        <w:spacing w:after="120" w:line="269" w:lineRule="auto"/>
        <w:jc w:val="left"/>
        <w:bidi w:val="1"/>
      </w:pPr>
      <w:r>
        <w:rPr>
          <w:rFonts w:ascii="Arial" w:hAnsi="Arial"/>
          <w:color w:val="000000"/>
          <w:sz w:val="22"/>
          <w:rtl w:val="1"/>
          <w:szCs w:val="22"/>
        </w:rPr>
        <w:t>7.3  שני בוררים ייבחרו בהסכמה משותפת בתוך 14 ימים מתום תקופת ההידברות. כל בורר יהיה עצמאי, יגלה קשרים ועניין אישי ויקבל את אמון שני הצדדים. איש מהצדדים והמזכירות לא ימנו לבדם בורר. הצדדים רשאים להסכים בכתב על בורר יחיד.</w:t>
      </w:r>
    </w:p>
    <w:p>
      <w:pPr>
        <w:spacing w:after="120" w:line="269" w:lineRule="auto"/>
        <w:jc w:val="left"/>
        <w:bidi w:val="1"/>
      </w:pPr>
      <w:r>
        <w:rPr>
          <w:rFonts w:ascii="Arial" w:hAnsi="Arial"/>
          <w:color w:val="000000"/>
          <w:sz w:val="22"/>
          <w:rtl w:val="1"/>
          <w:szCs w:val="22"/>
        </w:rPr>
        <w:t>7.4  אם שני הבוררים לא יגיעו להכרעה מוסכמת, ימונה בורר שלישי בהסכמת הצדדים בתוך 14 ימים מהודעתם, והמותב המורחב יכריע ברוב דעות לאחר שנתן לצדדים זכות טיעון. אם לא הושלם מינוי, אם בורר אינו יכול לכהן, או אם נתיב הוגן אינה זמינה, יפעלו הצדדים למינוי או החלפה בהסכמה; בהיעדרה רשאי כל צד לבקש מינוי מהערכאה המוסמכת, בכפוף להודעה ולתנאים שבסעיף 8 לחוק הבוררות. חוסר שיתוף פעולה אינו מבטל את התחייבות הבוררות.</w:t>
      </w:r>
    </w:p>
    <w:p>
      <w:pPr>
        <w:spacing w:after="120" w:line="269" w:lineRule="auto"/>
        <w:jc w:val="left"/>
        <w:bidi w:val="1"/>
      </w:pPr>
      <w:r>
        <w:rPr>
          <w:rFonts w:ascii="Arial" w:hAnsi="Arial"/>
          <w:color w:val="000000"/>
          <w:sz w:val="22"/>
          <w:rtl w:val="1"/>
          <w:szCs w:val="22"/>
        </w:rPr>
        <w:t>7.5  יחולו דיני מדינת ישראל וחוק הבוררות, תשכ״ח-1968. הבוררים יפסקו לפי הדין המהותי, ייתנו פסק מנומק בכתב ויאפשרו לכל צד הזדמנות שווה להציג טענות, ראיות ותגובה לחומר הצד האחר. כל צד רשאי להסתייע בעורך דין. דיון מקוון יתקיים בהסכמה ותוך התאמות נגישות נחוצות.</w:t>
      </w:r>
    </w:p>
    <w:p>
      <w:pPr>
        <w:spacing w:after="120" w:line="269" w:lineRule="auto"/>
        <w:jc w:val="left"/>
        <w:bidi w:val="1"/>
      </w:pPr>
      <w:r>
        <w:rPr>
          <w:rFonts w:ascii="Arial" w:hAnsi="Arial"/>
          <w:color w:val="000000"/>
          <w:sz w:val="22"/>
          <w:rtl w:val="1"/>
          <w:szCs w:val="22"/>
        </w:rPr>
        <w:t>7.6  טרם קבלת המינוי יוצגו שכר הבוררים, דמי הניהול, אופן החישוב ותנאי הביטול ויאושרו בכתב בידי הצדדים. המקדמות יחולקו שווה בשווה אלא אם הוסכם אחרת; ההכרעה הסופית בהוצאות תהיה בידי הבוררים לאחר טיעון. לא יוחל תעריף עתידי או תקנון שלא צורף ואושר. היעדר הסכמה לעלות אינו מאפשר חיוב חד צדדי ויטופל במסגרת מנגנון המינוי.</w:t>
      </w:r>
    </w:p>
    <w:p>
      <w:pPr>
        <w:spacing w:after="120" w:line="269" w:lineRule="auto"/>
        <w:jc w:val="left"/>
        <w:bidi w:val="1"/>
      </w:pPr>
      <w:r>
        <w:rPr>
          <w:rFonts w:ascii="Arial" w:hAnsi="Arial"/>
          <w:color w:val="000000"/>
          <w:sz w:val="22"/>
          <w:rtl w:val="1"/>
          <w:szCs w:val="22"/>
        </w:rPr>
        <w:t>7.7  הצדדים ישמרו בסוד את חומרי ההליך, למעט גילוי הנדרש לפי דין, לייעוץ מקצועי, למבטח בכפוף לסודיות או לשם מימוש זכויות. אין הבטחה שהליך בבית משפט יישאר חסוי. פרסום מזוהה, הקלטה או שימוש בתוכן לאימון מערכת בינה מלאכותית ידרשו הסכמה נפרדת כדין.</w:t>
      </w:r>
    </w:p>
    <w:p>
      <w:pPr>
        <w:spacing w:after="120" w:line="269" w:lineRule="auto"/>
        <w:jc w:val="left"/>
        <w:bidi w:val="1"/>
      </w:pPr>
      <w:r>
        <w:rPr>
          <w:rFonts w:ascii="Arial" w:hAnsi="Arial"/>
          <w:color w:val="000000"/>
          <w:sz w:val="22"/>
          <w:rtl w:val="1"/>
          <w:szCs w:val="22"/>
        </w:rPr>
        <w:t>7.8  פסק הבוררות יחייב את הצדדים. לא נקבע ערעור פנימי כברירת מחדל; מסלול ערעור ייקבע רק בהסכם כתוב מתאים לדרישות הדין. נשמרות סמכויות בית המשפט לאישור הפסק, לביטולו, לאכיפתו ולפיקוח לפי הדין. אין בסעיף זה ויתור על זכות שאינה ניתנת להתניה.</w:t>
      </w:r>
    </w:p>
    <w:p>
      <w:pPr>
        <w:spacing w:after="120" w:line="269" w:lineRule="auto"/>
        <w:jc w:val="left"/>
        <w:bidi w:val="1"/>
      </w:pPr>
      <w:r>
        <w:rPr>
          <w:rFonts w:ascii="Arial" w:hAnsi="Arial"/>
          <w:color w:val="000000"/>
          <w:sz w:val="22"/>
          <w:rtl w:val="1"/>
          <w:szCs w:val="22"/>
        </w:rPr>
        <w:t>7.9  סעדים דחופים או זמניים, מניעת נזק, שמירת מועדים, מינוי בורר ועניינים שאינם בני בוררות ניתן להביא לערכאה המוסמכת ללא המתנה לסיום ההידברות. עצם הפנייה למזכירות אינה עוצרת התיישנות. חתימה על שטר מפורט בהמשך תסדיר פרטים בלבד ולא תהווה תנאי לתוקף התחייבות זו. הסעיף יוסיף לחול גם לאחר סיום ההסכם.</w:t>
      </w:r>
    </w:p>
    <w:p>
      <w:pPr>
        <w:pStyle w:val="Heading1"/>
        <w:spacing w:after="120" w:line="269" w:lineRule="auto" w:before="240"/>
        <w:jc w:val="left"/>
        <w:keepNext/>
        <w:bidi w:val="1"/>
      </w:pPr>
      <w:r>
        <w:rPr>
          <w:rFonts w:ascii="Arial" w:hAnsi="Arial"/>
          <w:b/>
          <w:color w:val="000000"/>
          <w:sz w:val="26"/>
          <w:rtl w:val="1"/>
          <w:szCs w:val="26"/>
        </w:rPr>
        <w:t>8 הודעות ושינויים</w:t>
      </w:r>
    </w:p>
    <w:p>
      <w:pPr>
        <w:spacing w:after="120" w:line="269" w:lineRule="auto"/>
        <w:jc w:val="left"/>
        <w:bidi w:val="1"/>
      </w:pPr>
      <w:r>
        <w:rPr>
          <w:rFonts w:ascii="Arial" w:hAnsi="Arial"/>
          <w:color w:val="000000"/>
          <w:sz w:val="22"/>
          <w:rtl w:val="1"/>
          <w:szCs w:val="22"/>
        </w:rPr>
        <w:t>8.1  הודעות יימסרו לכתובות הדוא״ל והמען שנרשמו בהסכם, בדרך המאפשרת הוכחת קבלה. הודעת ביטול או פתיחת בוררות תישלח בשני ערוצים ככל האפשר. כל צד יעדכן שינוי בפרטיו. אין באישור משלוח בלבד הוכחה חלוטה לקבלה.</w:t>
      </w:r>
    </w:p>
    <w:p>
      <w:pPr>
        <w:spacing w:after="120" w:line="269" w:lineRule="auto"/>
        <w:jc w:val="left"/>
        <w:bidi w:val="1"/>
      </w:pPr>
      <w:r>
        <w:rPr>
          <w:rFonts w:ascii="Arial" w:hAnsi="Arial"/>
          <w:color w:val="000000"/>
          <w:sz w:val="22"/>
          <w:rtl w:val="1"/>
          <w:szCs w:val="22"/>
        </w:rPr>
        <w:t>8.2  כל שינוי יחייב מסמך מתוארך וחתום בידי הצדדים. תנאי מסחרי ספציפי בנספח גובר על תנאי כללי רק אם צוין השינוי במפורש; הוראות דין שאינן ניתנות להתניה גוברות. שינוי בתניית הבוררות טעון אזכור מפורש שלה.</w:t>
      </w:r>
    </w:p>
    <w:p>
      <w:pPr>
        <w:spacing w:after="120" w:line="269" w:lineRule="auto"/>
        <w:jc w:val="left"/>
        <w:bidi w:val="1"/>
      </w:pPr>
      <w:r>
        <w:rPr>
          <w:rFonts w:ascii="Arial" w:hAnsi="Arial"/>
          <w:color w:val="000000"/>
          <w:sz w:val="22"/>
          <w:rtl w:val="1"/>
          <w:szCs w:val="22"/>
        </w:rPr>
        <w:t>8.3  אין בשיהוי משום ויתור. בטלות הוראה אינה מבטלת את יתר ההסכם ככל שניתן לקיימו. הצדדים יקיימו חיובים שאינם במחלוקת, בכפוף לזכויותיהם בדין. בתי המשפט בישראל המוסמכים לפי דין ידונו בעניינים שנותרו בסמכותם.</w:t>
      </w:r>
    </w:p>
    <w:p>
      <w:pPr>
        <w:pStyle w:val="Heading1"/>
        <w:spacing w:after="120" w:line="269" w:lineRule="auto" w:before="240"/>
        <w:jc w:val="left"/>
        <w:keepNext/>
        <w:bidi w:val="1"/>
      </w:pPr>
      <w:r>
        <w:rPr>
          <w:rFonts w:ascii="Arial" w:hAnsi="Arial"/>
          <w:b/>
          <w:color w:val="000000"/>
          <w:sz w:val="26"/>
          <w:rtl w:val="1"/>
          <w:szCs w:val="26"/>
        </w:rPr>
        <w:t>אישור וחתימות</w:t>
      </w:r>
    </w:p>
    <w:p>
      <w:pPr>
        <w:spacing w:after="120" w:line="269" w:lineRule="auto"/>
        <w:jc w:val="left"/>
        <w:bidi w:val="1"/>
      </w:pPr>
      <w:r>
        <w:rPr>
          <w:rFonts w:ascii="Arial" w:hAnsi="Arial"/>
          <w:color w:val="000000"/>
          <w:sz w:val="22"/>
          <w:rtl w:val="1"/>
          <w:szCs w:val="22"/>
        </w:rPr>
        <w:t>הצדדים קראו את ההסכם, ובפרט את ההתחייבות לבוררות באמצעות נתיב הוגן, הבינו את משמעותה וקיבלו אפשרות לייעוץ עצמאי. כל צד יקבל עותק חתום. התחייבות הבוררות היא חלק מההסכם שנחתם.</w:t>
      </w:r>
    </w:p>
    <w:p>
      <w:pPr>
        <w:spacing w:after="120" w:line="269" w:lineRule="auto"/>
        <w:jc w:val="left"/>
        <w:bidi w:val="1"/>
      </w:pPr>
      <w:r>
        <w:rPr>
          <w:rFonts w:ascii="Arial" w:hAnsi="Arial"/>
          <w:color w:val="000000"/>
          <w:sz w:val="22"/>
          <w:rtl w:val="1"/>
          <w:szCs w:val="22"/>
        </w:rPr>
        <w:t>צד א: שם __________ חתימה __________ תאריך __________</w:t>
      </w:r>
    </w:p>
    <w:p>
      <w:pPr>
        <w:spacing w:after="120" w:line="269" w:lineRule="auto"/>
        <w:jc w:val="left"/>
        <w:bidi w:val="1"/>
      </w:pPr>
      <w:r>
        <w:rPr>
          <w:rFonts w:ascii="Arial" w:hAnsi="Arial"/>
          <w:color w:val="000000"/>
          <w:sz w:val="22"/>
          <w:rtl w:val="1"/>
          <w:szCs w:val="22"/>
        </w:rPr>
        <w:t>צד ב: שם __________ חתימה __________ תאריך __________</w:t>
      </w:r>
    </w:p>
    <w:p>
      <w:pPr>
        <w:pStyle w:val="Heading1"/>
        <w:spacing w:after="120" w:line="269" w:lineRule="auto" w:before="240"/>
        <w:jc w:val="left"/>
        <w:keepNext/>
        <w:bidi w:val="1"/>
      </w:pPr>
      <w:r>
        <w:rPr>
          <w:rFonts w:ascii="Arial" w:hAnsi="Arial"/>
          <w:b/>
          <w:color w:val="000000"/>
          <w:sz w:val="26"/>
          <w:rtl w:val="1"/>
          <w:szCs w:val="26"/>
        </w:rPr>
        <w:t>נספח פרטי ביצוע ומסירה</w:t>
      </w:r>
    </w:p>
    <w:p>
      <w:pPr>
        <w:spacing w:after="120" w:line="269" w:lineRule="auto"/>
        <w:jc w:val="left"/>
        <w:bidi w:val="1"/>
      </w:pPr>
      <w:r>
        <w:rPr>
          <w:rFonts w:ascii="Arial" w:hAnsi="Arial"/>
          <w:color w:val="000000"/>
          <w:sz w:val="22"/>
          <w:rtl w:val="1"/>
          <w:szCs w:val="22"/>
        </w:rPr>
        <w:t>כתובת הנכס וזיהויו המלא: __________________________________________________</w:t>
      </w:r>
    </w:p>
    <w:p>
      <w:pPr>
        <w:spacing w:after="120" w:line="269" w:lineRule="auto"/>
        <w:jc w:val="left"/>
        <w:bidi w:val="1"/>
      </w:pPr>
      <w:r>
        <w:rPr>
          <w:rFonts w:ascii="Arial" w:hAnsi="Arial"/>
          <w:color w:val="000000"/>
          <w:sz w:val="22"/>
          <w:rtl w:val="1"/>
          <w:szCs w:val="22"/>
        </w:rPr>
        <w:t>מחיר העסקה המבוקש בקירוב: __________________________________________________</w:t>
      </w:r>
    </w:p>
    <w:p>
      <w:pPr>
        <w:spacing w:after="120" w:line="269" w:lineRule="auto"/>
        <w:jc w:val="left"/>
        <w:bidi w:val="1"/>
      </w:pPr>
      <w:r>
        <w:rPr>
          <w:rFonts w:ascii="Arial" w:hAnsi="Arial"/>
          <w:color w:val="000000"/>
          <w:sz w:val="22"/>
          <w:rtl w:val="1"/>
          <w:szCs w:val="22"/>
        </w:rPr>
        <w:t>סכום או שיעור דמי תיווך ובסיס החישוב: __________________________________________________</w:t>
      </w:r>
    </w:p>
    <w:p>
      <w:pPr>
        <w:spacing w:after="120" w:line="269" w:lineRule="auto"/>
        <w:jc w:val="left"/>
        <w:bidi w:val="1"/>
      </w:pPr>
      <w:r>
        <w:rPr>
          <w:rFonts w:ascii="Arial" w:hAnsi="Arial"/>
          <w:color w:val="000000"/>
          <w:sz w:val="22"/>
          <w:rtl w:val="1"/>
          <w:szCs w:val="22"/>
        </w:rPr>
        <w:t>האם דמי התיווך כוללים מע״מ: __________________________________________________</w:t>
      </w:r>
    </w:p>
    <w:p>
      <w:pPr>
        <w:spacing w:after="120" w:line="269" w:lineRule="auto"/>
        <w:jc w:val="left"/>
        <w:bidi w:val="1"/>
      </w:pPr>
      <w:r>
        <w:rPr>
          <w:rFonts w:ascii="Arial" w:hAnsi="Arial"/>
          <w:color w:val="000000"/>
          <w:sz w:val="22"/>
          <w:rtl w:val="1"/>
          <w:szCs w:val="22"/>
        </w:rPr>
        <w:t>מועד הצגת הנכס ומי נכח: __________________________________________________</w:t>
      </w:r>
    </w:p>
    <w:p>
      <w:pPr>
        <w:spacing w:after="120" w:line="269" w:lineRule="auto"/>
        <w:jc w:val="left"/>
        <w:bidi w:val="1"/>
      </w:pPr>
      <w:r>
        <w:rPr>
          <w:rFonts w:ascii="Arial" w:hAnsi="Arial"/>
          <w:color w:val="000000"/>
          <w:sz w:val="22"/>
          <w:rtl w:val="1"/>
          <w:szCs w:val="22"/>
        </w:rPr>
        <w:t>עניין אישי או תמורה מצד נוסף והסכמה נדרשת: __________________________________________________</w:t>
      </w:r>
    </w:p>
    <w:p>
      <w:pPr>
        <w:spacing w:after="120" w:line="269" w:lineRule="auto"/>
        <w:jc w:val="left"/>
        <w:bidi w:val="1"/>
      </w:pPr>
      <w:r>
        <w:rPr>
          <w:rFonts w:ascii="Arial" w:hAnsi="Arial"/>
          <w:color w:val="000000"/>
          <w:sz w:val="22"/>
          <w:rtl w:val="1"/>
          <w:szCs w:val="22"/>
        </w:rPr>
        <w:t>מסמך בלעדיות נפרד אם נחתם ומועדו: __________________________________________________</w:t>
      </w:r>
    </w:p>
    <w:p>
      <w:pPr>
        <w:spacing w:after="120" w:line="269" w:lineRule="auto"/>
        <w:jc w:val="left"/>
        <w:bidi w:val="1"/>
      </w:pPr>
      <w:r>
        <w:rPr>
          <w:rFonts w:ascii="Arial" w:hAnsi="Arial"/>
          <w:color w:val="000000"/>
          <w:sz w:val="22"/>
          <w:rtl w:val="1"/>
          <w:szCs w:val="22"/>
        </w:rPr>
        <w:t>מסמכי מידע שנמסרו ללקוח: __________________________________________________</w:t>
      </w:r>
    </w:p>
    <w:p>
      <w:pPr>
        <w:spacing w:after="120" w:line="269" w:lineRule="auto"/>
        <w:jc w:val="left"/>
        <w:bidi w:val="1"/>
      </w:pPr>
      <w:r>
        <w:rPr>
          <w:rFonts w:ascii="Arial" w:hAnsi="Arial"/>
          <w:color w:val="000000"/>
          <w:sz w:val="22"/>
          <w:rtl w:val="1"/>
          <w:szCs w:val="22"/>
        </w:rPr>
        <w:t>חתימות שני הצדדים על הנספח: __________________  __________________</w:t>
      </w:r>
    </w:p>
    <w:sectPr w:rsidR="00FC693F" w:rsidRPr="0006063C" w:rsidSect="00034616">
      <w:headerReference w:type="default" r:id="rId9"/>
      <w:pgSz w:w="12240" w:h="15840"/>
      <w:pgMar w:top="936"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