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line="269" w:lineRule="auto"/>
        <w:jc w:val="left"/>
        <w:bidi w:val="1"/>
      </w:pPr>
      <w:r>
        <w:rPr>
          <w:rFonts w:ascii="Arial" w:hAnsi="Arial"/>
          <w:b/>
          <w:color w:val="000000"/>
          <w:sz w:val="44"/>
          <w:rtl w:val="1"/>
          <w:szCs w:val="44"/>
        </w:rPr>
        <w:t>הסכם שכירות מורחב למגורים</w:t>
      </w:r>
    </w:p>
    <w:p>
      <w:pPr>
        <w:spacing w:after="120" w:line="269" w:lineRule="auto"/>
        <w:jc w:val="left"/>
        <w:bidi w:val="1"/>
      </w:pPr>
      <w:r>
        <w:rPr>
          <w:rFonts w:ascii="Arial" w:hAnsi="Arial"/>
          <w:color w:val="000000"/>
          <w:sz w:val="22"/>
          <w:rtl w:val="1"/>
          <w:szCs w:val="22"/>
        </w:rPr>
        <w:t>נתיב הוגן | FairPath | גרסה מיום 9 בספטמבר 2026</w:t>
      </w:r>
    </w:p>
    <w:p>
      <w:pPr>
        <w:spacing w:after="120" w:line="269" w:lineRule="auto"/>
        <w:jc w:val="left"/>
        <w:bidi w:val="1"/>
      </w:pPr>
      <w:r>
        <w:rPr>
          <w:rFonts w:ascii="Arial" w:hAnsi="Arial"/>
          <w:color w:val="000000"/>
          <w:sz w:val="22"/>
          <w:rtl w:val="1"/>
          <w:szCs w:val="22"/>
        </w:rPr>
        <w:t>תבנית מורחבת להתאמה ולבדיקה משפטית לפני חתימה. יש להשלים שדות, למחוק חלופות שאינן מתאימות ולחתום על כל הנספחים.</w:t>
      </w:r>
    </w:p>
    <w:p>
      <w:pPr>
        <w:spacing w:after="120" w:line="269" w:lineRule="auto"/>
        <w:jc w:val="left"/>
        <w:bidi w:val="1"/>
      </w:pPr>
      <w:r>
        <w:rPr>
          <w:rFonts w:ascii="Arial" w:hAnsi="Arial"/>
          <w:color w:val="000000"/>
          <w:sz w:val="22"/>
          <w:rtl w:val="1"/>
          <w:szCs w:val="22"/>
        </w:rPr>
        <w:t>הסכם לשכירות מגורים בלתי מוגנת בישראל, הכולל תנאי מסירה, תשלומים, תיקונים, בטוחות ופינוי. לשימוש מסחרי או לשכירות מוגנת נדרשת התאמה נפרדת.</w:t>
      </w:r>
    </w:p>
    <w:p>
      <w:pPr>
        <w:pStyle w:val="Heading1"/>
        <w:spacing w:after="120" w:line="269" w:lineRule="auto" w:before="240"/>
        <w:jc w:val="left"/>
        <w:keepNext/>
        <w:bidi w:val="1"/>
      </w:pPr>
      <w:r>
        <w:rPr>
          <w:rFonts w:ascii="Arial" w:hAnsi="Arial"/>
          <w:b/>
          <w:color w:val="000000"/>
          <w:sz w:val="26"/>
          <w:rtl w:val="1"/>
          <w:szCs w:val="26"/>
        </w:rPr>
        <w:t>1 פרטי הצדדים וההתקשרות</w:t>
      </w:r>
    </w:p>
    <w:p>
      <w:pPr>
        <w:spacing w:after="120" w:line="269" w:lineRule="auto"/>
        <w:jc w:val="left"/>
        <w:bidi w:val="1"/>
      </w:pPr>
      <w:r>
        <w:rPr>
          <w:rFonts w:ascii="Arial" w:hAnsi="Arial"/>
          <w:color w:val="000000"/>
          <w:sz w:val="22"/>
          <w:rtl w:val="1"/>
          <w:szCs w:val="22"/>
        </w:rPr>
        <w:t>1.1  נחתם ביום __________ במקום __________.</w:t>
      </w:r>
    </w:p>
    <w:p>
      <w:pPr>
        <w:spacing w:after="120" w:line="269" w:lineRule="auto"/>
        <w:jc w:val="left"/>
        <w:bidi w:val="1"/>
      </w:pPr>
      <w:r>
        <w:rPr>
          <w:rFonts w:ascii="Arial" w:hAnsi="Arial"/>
          <w:color w:val="000000"/>
          <w:sz w:val="22"/>
          <w:rtl w:val="1"/>
          <w:szCs w:val="22"/>
        </w:rPr>
        <w:t>1.2  המשכיר: שם מלא __________ מספר זיהוי __________ מען __________</w:t>
      </w:r>
    </w:p>
    <w:p>
      <w:pPr>
        <w:spacing w:after="120" w:line="269" w:lineRule="auto"/>
        <w:jc w:val="left"/>
        <w:bidi w:val="1"/>
      </w:pPr>
      <w:r>
        <w:rPr>
          <w:rFonts w:ascii="Arial" w:hAnsi="Arial"/>
          <w:color w:val="000000"/>
          <w:sz w:val="22"/>
          <w:rtl w:val="1"/>
          <w:szCs w:val="22"/>
        </w:rPr>
        <w:t>1.3  דוא״ל __________ טלפון __________ נציג מוסמך ותפקידו __________</w:t>
      </w:r>
    </w:p>
    <w:p>
      <w:pPr>
        <w:spacing w:after="120" w:line="269" w:lineRule="auto"/>
        <w:jc w:val="left"/>
        <w:bidi w:val="1"/>
      </w:pPr>
      <w:r>
        <w:rPr>
          <w:rFonts w:ascii="Arial" w:hAnsi="Arial"/>
          <w:color w:val="000000"/>
          <w:sz w:val="22"/>
          <w:rtl w:val="1"/>
          <w:szCs w:val="22"/>
        </w:rPr>
        <w:t>1.4  השוכר: שם מלא __________ מספר זיהוי __________ מען __________</w:t>
      </w:r>
    </w:p>
    <w:p>
      <w:pPr>
        <w:spacing w:after="120" w:line="269" w:lineRule="auto"/>
        <w:jc w:val="left"/>
        <w:bidi w:val="1"/>
      </w:pPr>
      <w:r>
        <w:rPr>
          <w:rFonts w:ascii="Arial" w:hAnsi="Arial"/>
          <w:color w:val="000000"/>
          <w:sz w:val="22"/>
          <w:rtl w:val="1"/>
          <w:szCs w:val="22"/>
        </w:rPr>
        <w:t>1.5  דוא״ל __________ טלפון __________ נציג מוסמך ותפקידו __________</w:t>
      </w:r>
    </w:p>
    <w:p>
      <w:pPr>
        <w:spacing w:after="120" w:line="269" w:lineRule="auto"/>
        <w:jc w:val="left"/>
        <w:bidi w:val="1"/>
      </w:pPr>
      <w:r>
        <w:rPr>
          <w:rFonts w:ascii="Arial" w:hAnsi="Arial"/>
          <w:color w:val="000000"/>
          <w:sz w:val="22"/>
          <w:rtl w:val="1"/>
          <w:szCs w:val="22"/>
        </w:rPr>
        <w:t>1.6  החותמים בשם תאגיד מצהירים כי הם מוסמכים להתחייב בשמו. יש לצרף אישור הרשאה לפי הצורך.</w:t>
      </w:r>
    </w:p>
    <w:p>
      <w:pPr>
        <w:pStyle w:val="Heading1"/>
        <w:spacing w:after="120" w:line="269" w:lineRule="auto" w:before="240"/>
        <w:jc w:val="left"/>
        <w:keepNext/>
        <w:bidi w:val="1"/>
      </w:pPr>
      <w:r>
        <w:rPr>
          <w:rFonts w:ascii="Arial" w:hAnsi="Arial"/>
          <w:b/>
          <w:color w:val="000000"/>
          <w:sz w:val="26"/>
          <w:rtl w:val="1"/>
          <w:szCs w:val="26"/>
        </w:rPr>
        <w:t>2 המושכר והצהרות הצדדים</w:t>
      </w:r>
    </w:p>
    <w:p>
      <w:pPr>
        <w:spacing w:after="120" w:line="269" w:lineRule="auto"/>
        <w:jc w:val="left"/>
        <w:bidi w:val="1"/>
      </w:pPr>
      <w:r>
        <w:rPr>
          <w:rFonts w:ascii="Arial" w:hAnsi="Arial"/>
          <w:color w:val="000000"/>
          <w:sz w:val="22"/>
          <w:rtl w:val="1"/>
          <w:szCs w:val="22"/>
        </w:rPr>
        <w:t>2.1  כתובת הדירה __________ קומה ___ דירה ___ מספר חדרים ___ שטח בקירוב ___ גוש ___ חלקה ___ תת חלקה ___. חניה, מחסן והצמדות: __________. המשתמשים המורשים: __________.</w:t>
      </w:r>
    </w:p>
    <w:p>
      <w:pPr>
        <w:spacing w:after="120" w:line="269" w:lineRule="auto"/>
        <w:jc w:val="left"/>
        <w:bidi w:val="1"/>
      </w:pPr>
      <w:r>
        <w:rPr>
          <w:rFonts w:ascii="Arial" w:hAnsi="Arial"/>
          <w:color w:val="000000"/>
          <w:sz w:val="22"/>
          <w:rtl w:val="1"/>
          <w:szCs w:val="22"/>
        </w:rPr>
        <w:t>2.2  המשכיר מצהיר כי הוא בעל הזכות להשכיר וכי אין מניעה משפטית ידועה לקיום ההסכם. מסמכי הזכויות וההרשאה שנבדקו: __________. זכויות צדדים שלישיים או מגבלות ידועות: __________.</w:t>
      </w:r>
    </w:p>
    <w:p>
      <w:pPr>
        <w:spacing w:after="120" w:line="269" w:lineRule="auto"/>
        <w:jc w:val="left"/>
        <w:bidi w:val="1"/>
      </w:pPr>
      <w:r>
        <w:rPr>
          <w:rFonts w:ascii="Arial" w:hAnsi="Arial"/>
          <w:color w:val="000000"/>
          <w:sz w:val="22"/>
          <w:rtl w:val="1"/>
          <w:szCs w:val="22"/>
        </w:rPr>
        <w:t>2.3  הדירה תימסר פנויה מאדם ומחפצים שאינם כלולים בנספח התכולה, ראויה למגורים ומתאימה למוסכם. המשכיר יגלה מראש ליקויים, עבודות מתוכננות והפרעות מהותיות הידועים לו: __________.</w:t>
      </w:r>
    </w:p>
    <w:p>
      <w:pPr>
        <w:spacing w:after="120" w:line="269" w:lineRule="auto"/>
        <w:jc w:val="left"/>
        <w:bidi w:val="1"/>
      </w:pPr>
      <w:r>
        <w:rPr>
          <w:rFonts w:ascii="Arial" w:hAnsi="Arial"/>
          <w:color w:val="000000"/>
          <w:sz w:val="22"/>
          <w:rtl w:val="1"/>
          <w:szCs w:val="22"/>
        </w:rPr>
        <w:t>2.4  לא שולמו דמי מפתח. כוונת הצדדים היא לשכירות בלתי מוגנת, אולם הצהרה זו אינה שוללת מעמד או זכות שהדין מקנה בפועל. ביקור השוכר או קבלת מפתח אינם ויתור גורף על ליקויים נסתרים או זכויות מחייבות.</w:t>
      </w:r>
    </w:p>
    <w:p>
      <w:pPr>
        <w:pStyle w:val="Heading1"/>
        <w:spacing w:after="120" w:line="269" w:lineRule="auto" w:before="240"/>
        <w:jc w:val="left"/>
        <w:keepNext/>
        <w:bidi w:val="1"/>
      </w:pPr>
      <w:r>
        <w:rPr>
          <w:rFonts w:ascii="Arial" w:hAnsi="Arial"/>
          <w:b/>
          <w:color w:val="000000"/>
          <w:sz w:val="26"/>
          <w:rtl w:val="1"/>
          <w:szCs w:val="26"/>
        </w:rPr>
        <w:t>3 תקופה ואפשרות הארכה</w:t>
      </w:r>
    </w:p>
    <w:p>
      <w:pPr>
        <w:spacing w:after="120" w:line="269" w:lineRule="auto"/>
        <w:jc w:val="left"/>
        <w:bidi w:val="1"/>
      </w:pPr>
      <w:r>
        <w:rPr>
          <w:rFonts w:ascii="Arial" w:hAnsi="Arial"/>
          <w:color w:val="000000"/>
          <w:sz w:val="22"/>
          <w:rtl w:val="1"/>
          <w:szCs w:val="22"/>
        </w:rPr>
        <w:t>3.1  תקופת השכירות: מיום __________ עד יום __________. מסירת החזקה והמפתחות ביום __________ בשעה ___. תשלום ראשון ותקופה חלקית: __________. חיוב בגין איחור השוכר בקבלה כפוף לכך שהדירה הועמדה לרשותו כדין.</w:t>
      </w:r>
    </w:p>
    <w:p>
      <w:pPr>
        <w:spacing w:after="120" w:line="269" w:lineRule="auto"/>
        <w:jc w:val="left"/>
        <w:bidi w:val="1"/>
      </w:pPr>
      <w:r>
        <w:rPr>
          <w:rFonts w:ascii="Arial" w:hAnsi="Arial"/>
          <w:color w:val="000000"/>
          <w:sz w:val="22"/>
          <w:rtl w:val="1"/>
          <w:szCs w:val="22"/>
        </w:rPr>
        <w:t>3.2  אופציה לשוכר: יש / אין. תקופת ההארכה ___ חודשים; דמי השכירות בתקופה זו ___ ש״ח. הודעת מימוש תימסר 60 ימים מראש, או תקופה קצרה יותר שהוסכמה לטובת השוכר: ___ ימים. התנאים למימוש: __________. בהיעדר מילוי פרטי האופציה לא נוצרת אופציה מוסכמת.</w:t>
      </w:r>
    </w:p>
    <w:p>
      <w:pPr>
        <w:spacing w:after="120" w:line="269" w:lineRule="auto"/>
        <w:jc w:val="left"/>
        <w:bidi w:val="1"/>
      </w:pPr>
      <w:r>
        <w:rPr>
          <w:rFonts w:ascii="Arial" w:hAnsi="Arial"/>
          <w:color w:val="000000"/>
          <w:sz w:val="22"/>
          <w:rtl w:val="1"/>
          <w:szCs w:val="22"/>
        </w:rPr>
        <w:t>3.3  הצעה לחידוש שאינה אופציה תימסר זמן סביר מראש עם התנאים המבוקשים. אין הארכה אוטומטית מכוח שתיקה בלבד, בכפוף לדין ולדרך התנהגות הצדדים.</w:t>
      </w:r>
    </w:p>
    <w:p>
      <w:pPr>
        <w:pStyle w:val="Heading1"/>
        <w:spacing w:after="120" w:line="269" w:lineRule="auto" w:before="240"/>
        <w:jc w:val="left"/>
        <w:keepNext/>
        <w:bidi w:val="1"/>
      </w:pPr>
      <w:r>
        <w:rPr>
          <w:rFonts w:ascii="Arial" w:hAnsi="Arial"/>
          <w:b/>
          <w:color w:val="000000"/>
          <w:sz w:val="26"/>
          <w:rtl w:val="1"/>
          <w:szCs w:val="26"/>
        </w:rPr>
        <w:t>4 דמי שכירות ותשלומים נלווים</w:t>
      </w:r>
    </w:p>
    <w:p>
      <w:pPr>
        <w:spacing w:after="120" w:line="269" w:lineRule="auto"/>
        <w:jc w:val="left"/>
        <w:bidi w:val="1"/>
      </w:pPr>
      <w:r>
        <w:rPr>
          <w:rFonts w:ascii="Arial" w:hAnsi="Arial"/>
          <w:color w:val="000000"/>
          <w:sz w:val="22"/>
          <w:rtl w:val="1"/>
          <w:szCs w:val="22"/>
        </w:rPr>
        <w:t>4.1  דמי השכירות ___ ש״ח לחודש, לתשלום עד יום ___ באמצעות __________ לחשבון __________. לוח התשלומים ייחתם בנספח. הצמדה תחול רק אם מולאו מדד בסיס, מועדי עדכון ודרך חישוב: __________; אחרת הסכום קבוע.</w:t>
      </w:r>
    </w:p>
    <w:p>
      <w:pPr>
        <w:spacing w:after="120" w:line="269" w:lineRule="auto"/>
        <w:jc w:val="left"/>
        <w:bidi w:val="1"/>
      </w:pPr>
      <w:r>
        <w:rPr>
          <w:rFonts w:ascii="Arial" w:hAnsi="Arial"/>
          <w:color w:val="000000"/>
          <w:sz w:val="22"/>
          <w:rtl w:val="1"/>
          <w:szCs w:val="22"/>
        </w:rPr>
        <w:t>4.2  השוכר יישא בדמי השכירות, ארנונה, צריכת מים, חשמל, גז ותשלומי אחזקה שוטפת של הבית בגין תקופת החזקתו. המשכיר יישא בתשלומי בעלים, השבחה, רכישה והחלפת מערכות קבועות וביטוח מבנה. אין לחייב שוכר בתשלומים שהדין אוסר להטיל עליו, לרבות דמי תיווך למתווך שפעל מטעם המשכיר.</w:t>
      </w:r>
    </w:p>
    <w:p>
      <w:pPr>
        <w:spacing w:after="120" w:line="269" w:lineRule="auto"/>
        <w:jc w:val="left"/>
        <w:bidi w:val="1"/>
      </w:pPr>
      <w:r>
        <w:rPr>
          <w:rFonts w:ascii="Arial" w:hAnsi="Arial"/>
          <w:color w:val="000000"/>
          <w:sz w:val="22"/>
          <w:rtl w:val="1"/>
          <w:szCs w:val="22"/>
        </w:rPr>
        <w:t>4.3  קריאות מונים והעברת חשבונות יתועדו במסירה ובהחזרה. חוב קודם למסירה או מאוחר להחזרה לא יוטל על השוכר. הצדדים ימסרו אישורי תשלום לפי דרישה סבירה.</w:t>
      </w:r>
    </w:p>
    <w:p>
      <w:pPr>
        <w:spacing w:after="120" w:line="269" w:lineRule="auto"/>
        <w:jc w:val="left"/>
        <w:bidi w:val="1"/>
      </w:pPr>
      <w:r>
        <w:rPr>
          <w:rFonts w:ascii="Arial" w:hAnsi="Arial"/>
          <w:color w:val="000000"/>
          <w:sz w:val="22"/>
          <w:rtl w:val="1"/>
          <w:szCs w:val="22"/>
        </w:rPr>
        <w:t>4.4  איחור בתשלום יקנה רק סעדים כדין ובהתאם להסכם. ריבית מוסכמת שנתית, אם נקבעה: ___ אחוז, בכפוף לדין. אין חיוב בכפל פיצוי, ונשמרות זכויות קיזוז והפחתת שכירות לפי דין.</w:t>
      </w:r>
    </w:p>
    <w:p>
      <w:pPr>
        <w:pStyle w:val="Heading1"/>
        <w:spacing w:after="120" w:line="269" w:lineRule="auto" w:before="240"/>
        <w:jc w:val="left"/>
        <w:keepNext/>
        <w:bidi w:val="1"/>
      </w:pPr>
      <w:r>
        <w:rPr>
          <w:rFonts w:ascii="Arial" w:hAnsi="Arial"/>
          <w:b/>
          <w:color w:val="000000"/>
          <w:sz w:val="26"/>
          <w:rtl w:val="1"/>
          <w:szCs w:val="26"/>
        </w:rPr>
        <w:t>5 שימוש תחזוקה ותיקונים</w:t>
      </w:r>
    </w:p>
    <w:p>
      <w:pPr>
        <w:spacing w:after="120" w:line="269" w:lineRule="auto"/>
        <w:jc w:val="left"/>
        <w:bidi w:val="1"/>
      </w:pPr>
      <w:r>
        <w:rPr>
          <w:rFonts w:ascii="Arial" w:hAnsi="Arial"/>
          <w:color w:val="000000"/>
          <w:sz w:val="22"/>
          <w:rtl w:val="1"/>
          <w:szCs w:val="22"/>
        </w:rPr>
        <w:t>5.1  השימוש הוא למגורים בלבד. השוכר ישמור על הדירה, יימנע ממטרד ומשימוש אסור ויודיע ללא דיחוי על תקלה מהותית. שינוי קבוע מחייב אישור המשכיר מראש ובכתב; אין לבצע עבודה הטעונה היתר בלעדיו.</w:t>
      </w:r>
    </w:p>
    <w:p>
      <w:pPr>
        <w:spacing w:after="120" w:line="269" w:lineRule="auto"/>
        <w:jc w:val="left"/>
        <w:bidi w:val="1"/>
      </w:pPr>
      <w:r>
        <w:rPr>
          <w:rFonts w:ascii="Arial" w:hAnsi="Arial"/>
          <w:color w:val="000000"/>
          <w:sz w:val="22"/>
          <w:rtl w:val="1"/>
          <w:szCs w:val="22"/>
        </w:rPr>
        <w:t>5.2  השוכר אחראי לליקוי שנגרם משימוש בלתי סביר שלו או של מי מטעמו. המשכיר יתקן ליקוי אחר שאינו קל ערך בתוך זמן סביר ולא יאוחר מ-30 ימים מדרישה; פגם דחוף שאינו מאפשר מגורים סבירים יתוקן בתוך זמן סביר ולא יאוחר משלושה ימים. הוראות דין מיטיבות גוברות.</w:t>
      </w:r>
    </w:p>
    <w:p>
      <w:pPr>
        <w:spacing w:after="120" w:line="269" w:lineRule="auto"/>
        <w:jc w:val="left"/>
        <w:bidi w:val="1"/>
      </w:pPr>
      <w:r>
        <w:rPr>
          <w:rFonts w:ascii="Arial" w:hAnsi="Arial"/>
          <w:color w:val="000000"/>
          <w:sz w:val="22"/>
          <w:rtl w:val="1"/>
          <w:szCs w:val="22"/>
        </w:rPr>
        <w:t>5.3  אם המשכיר אינו מתקן, נשמרות לשוכר תרופות הדין, לרבות תיקון ודרישת החזר הוצאה סבירה או הפחתה יחסית בדמי השכירות. תיקון דחוף יטופל לפי נסיבותיו והדין. יש לשמור תיעוד דרישה, תמונות וקבלות.</w:t>
      </w:r>
    </w:p>
    <w:p>
      <w:pPr>
        <w:spacing w:after="120" w:line="269" w:lineRule="auto"/>
        <w:jc w:val="left"/>
        <w:bidi w:val="1"/>
      </w:pPr>
      <w:r>
        <w:rPr>
          <w:rFonts w:ascii="Arial" w:hAnsi="Arial"/>
          <w:color w:val="000000"/>
          <w:sz w:val="22"/>
          <w:rtl w:val="1"/>
          <w:szCs w:val="22"/>
        </w:rPr>
        <w:t>5.4  כניסת המשכיר או בעל מקצוע תתואם מראש, בשעה סבירה ובמינימום הפרעה; במקרה חירום יינקטו אמצעים סבירים למניעת נזק ותימסר הודעה בהקדם. אין זכות כניסה חופשית לדירה.</w:t>
      </w:r>
    </w:p>
    <w:p>
      <w:pPr>
        <w:spacing w:after="120" w:line="269" w:lineRule="auto"/>
        <w:jc w:val="left"/>
        <w:bidi w:val="1"/>
      </w:pPr>
      <w:r>
        <w:rPr>
          <w:rFonts w:ascii="Arial" w:hAnsi="Arial"/>
          <w:color w:val="000000"/>
          <w:sz w:val="22"/>
          <w:rtl w:val="1"/>
          <w:szCs w:val="22"/>
        </w:rPr>
        <w:t>5.5  הביטוחים שסוכמו: __________. ביטוח תכולת השוכר וצד שלישי, אם נדרש, יפורט בנפרד. כל צד אחראי למעשיו ולמחדליו לפי דין; אין פטור גורף למשכיר ואין חיוב השוכר בנזק שלא באחריותו.</w:t>
      </w:r>
    </w:p>
    <w:p>
      <w:pPr>
        <w:pStyle w:val="Heading1"/>
        <w:spacing w:after="120" w:line="269" w:lineRule="auto" w:before="240"/>
        <w:jc w:val="left"/>
        <w:keepNext/>
        <w:bidi w:val="1"/>
      </w:pPr>
      <w:r>
        <w:rPr>
          <w:rFonts w:ascii="Arial" w:hAnsi="Arial"/>
          <w:b/>
          <w:color w:val="000000"/>
          <w:sz w:val="26"/>
          <w:rtl w:val="1"/>
          <w:szCs w:val="26"/>
        </w:rPr>
        <w:t>6 בטוחות והחזרתן</w:t>
      </w:r>
    </w:p>
    <w:p>
      <w:pPr>
        <w:spacing w:after="120" w:line="269" w:lineRule="auto"/>
        <w:jc w:val="left"/>
        <w:bidi w:val="1"/>
      </w:pPr>
      <w:r>
        <w:rPr>
          <w:rFonts w:ascii="Arial" w:hAnsi="Arial"/>
          <w:color w:val="000000"/>
          <w:sz w:val="22"/>
          <w:rtl w:val="1"/>
          <w:szCs w:val="22"/>
        </w:rPr>
        <w:t>6.1  סוג הבטוחה ___ סכום ___ תוקף ___ מחזיק ___. פירוט כל בטוחה נוספת: __________. ערבות צד שלישי תיערך במסמך נפרד המגדיר סכום, תקופה והיקף; עצם רישום שם ערב אינו מחייב אותו.</w:t>
      </w:r>
    </w:p>
    <w:p>
      <w:pPr>
        <w:spacing w:after="120" w:line="269" w:lineRule="auto"/>
        <w:jc w:val="left"/>
        <w:bidi w:val="1"/>
      </w:pPr>
      <w:r>
        <w:rPr>
          <w:rFonts w:ascii="Arial" w:hAnsi="Arial"/>
          <w:color w:val="000000"/>
          <w:sz w:val="22"/>
          <w:rtl w:val="1"/>
          <w:szCs w:val="22"/>
        </w:rPr>
        <w:t>6.2  בבטוחות הכרוכות בהוצאה כספית לשוכר, לרבות מזומן או ערבות בנקאית, הסכום המצטבר לא יעלה על הנמוך מבין שליש מדמי השכירות לכל התקופה לבין שלושה חודשי שכירות, ככל שהמגבלה חלה לפי הדין.</w:t>
      </w:r>
    </w:p>
    <w:p>
      <w:pPr>
        <w:spacing w:after="120" w:line="269" w:lineRule="auto"/>
        <w:jc w:val="left"/>
        <w:bidi w:val="1"/>
      </w:pPr>
      <w:r>
        <w:rPr>
          <w:rFonts w:ascii="Arial" w:hAnsi="Arial"/>
          <w:color w:val="000000"/>
          <w:sz w:val="22"/>
          <w:rtl w:val="1"/>
          <w:szCs w:val="22"/>
        </w:rPr>
        <w:t>6.3  מימוש יתאפשר רק בעילה ובסכום המותרים בדין, כגון דמי שכירות שלא שולמו, תשלום שוטף שהשוכר חב בו, נזק שבאחריותו או אי פינוי בהתאם להסכם. תימסר הודעה מראש וזמן סביר לתיקון. מחלוקת כשלעצמה אינה עילת מימוש.</w:t>
      </w:r>
    </w:p>
    <w:p>
      <w:pPr>
        <w:spacing w:after="120" w:line="269" w:lineRule="auto"/>
        <w:jc w:val="left"/>
        <w:bidi w:val="1"/>
      </w:pPr>
      <w:r>
        <w:rPr>
          <w:rFonts w:ascii="Arial" w:hAnsi="Arial"/>
          <w:color w:val="000000"/>
          <w:sz w:val="22"/>
          <w:rtl w:val="1"/>
          <w:szCs w:val="22"/>
        </w:rPr>
        <w:t>6.4  הבטוחות או יתרתן, לרבות פירותיהן ככל שקיימים, יוחזרו עד המאוחר מבין תום 60 ימים מהחזרת הדירה לבין המועד שבו נפרעו החובות המותרים, בכפוף לדין. יימסר פירוט בכתב של כל סכום שנוכה. לא ייגבה אותו חוב פעמיים.</w:t>
      </w:r>
    </w:p>
    <w:p>
      <w:pPr>
        <w:pStyle w:val="Heading1"/>
        <w:spacing w:after="120" w:line="269" w:lineRule="auto" w:before="240"/>
        <w:jc w:val="left"/>
        <w:keepNext/>
        <w:bidi w:val="1"/>
      </w:pPr>
      <w:r>
        <w:rPr>
          <w:rFonts w:ascii="Arial" w:hAnsi="Arial"/>
          <w:b/>
          <w:color w:val="000000"/>
          <w:sz w:val="26"/>
          <w:rtl w:val="1"/>
          <w:szCs w:val="26"/>
        </w:rPr>
        <w:t>7 העברה סיום ופינוי</w:t>
      </w:r>
    </w:p>
    <w:p>
      <w:pPr>
        <w:spacing w:after="120" w:line="269" w:lineRule="auto"/>
        <w:jc w:val="left"/>
        <w:bidi w:val="1"/>
      </w:pPr>
      <w:r>
        <w:rPr>
          <w:rFonts w:ascii="Arial" w:hAnsi="Arial"/>
          <w:color w:val="000000"/>
          <w:sz w:val="22"/>
          <w:rtl w:val="1"/>
          <w:szCs w:val="22"/>
        </w:rPr>
        <w:t>7.1  החלפת שוכר או שכירות משנה טעונה הסכמה מראש ובכתב, בכפוף לדין; המשכיר לא יסרב מטעמים בלתי סבירים. שחרור השוכר המקורי והחלפת בטוחות יתועדו במפורש. העברת זכויות המשכיר לא תפגע בזכויות השוכר, ותימסר הודעה עם פרטי בעל הזכות החדש.</w:t>
      </w:r>
    </w:p>
    <w:p>
      <w:pPr>
        <w:spacing w:after="120" w:line="269" w:lineRule="auto"/>
        <w:jc w:val="left"/>
        <w:bidi w:val="1"/>
      </w:pPr>
      <w:r>
        <w:rPr>
          <w:rFonts w:ascii="Arial" w:hAnsi="Arial"/>
          <w:color w:val="000000"/>
          <w:sz w:val="22"/>
          <w:rtl w:val="1"/>
          <w:szCs w:val="22"/>
        </w:rPr>
        <w:t>7.2  ביטול ללא הפרה: אין זכות כזו אלא אם סומנה כאן הסכמה הדדית ___ ונחתמה בידי הצדדים. אם הוסכמה, המשכיר ייתן לפחות 90 ימי הודעה והשוכר לפחות 60 ימים, בכפוף לדין ולהסדר מיטיב לשוכר. אין למשכיר זכות חד צדדית ללא זכות מקבילה לשוכר.</w:t>
      </w:r>
    </w:p>
    <w:p>
      <w:pPr>
        <w:spacing w:after="120" w:line="269" w:lineRule="auto"/>
        <w:jc w:val="left"/>
        <w:bidi w:val="1"/>
      </w:pPr>
      <w:r>
        <w:rPr>
          <w:rFonts w:ascii="Arial" w:hAnsi="Arial"/>
          <w:color w:val="000000"/>
          <w:sz w:val="22"/>
          <w:rtl w:val="1"/>
          <w:szCs w:val="22"/>
        </w:rPr>
        <w:t>7.3  בהפרה הניתנת לתיקון תימסר דרישה מפורטת וארכה של 14 ימים, אלא אם הדין או דחיפות הנסיבות מחייבים אחרת. סעד או ביטול יופעלו בתום לב ולפי דין. אי תשלום מהותי, שימוש אסור או אי מסירה מהותית ייבחנו לפי חומרתם ולא כל חריגה תוכר אוטומטית כהפרה יסודית.</w:t>
      </w:r>
    </w:p>
    <w:p>
      <w:pPr>
        <w:spacing w:after="120" w:line="269" w:lineRule="auto"/>
        <w:jc w:val="left"/>
        <w:bidi w:val="1"/>
      </w:pPr>
      <w:r>
        <w:rPr>
          <w:rFonts w:ascii="Arial" w:hAnsi="Arial"/>
          <w:color w:val="000000"/>
          <w:sz w:val="22"/>
          <w:rtl w:val="1"/>
          <w:szCs w:val="22"/>
        </w:rPr>
        <w:t>7.4  בתום ההתקשרות תוחזר הדירה פנויה ונקייה עם כל המפתחות, במצבה בעת המסירה למעט בלאי סביר. תיערך בדיקה משותפת. אין חובה לצבוע מחדש בשל בלאי סביר בלבד. פיצוי מוסכם לאיחור בפינוי, אם נקבע: ___ ש״ח ליום, כפוף לדין, לסבירות ולאיסור כפל פיצוי.</w:t>
      </w:r>
    </w:p>
    <w:p>
      <w:pPr>
        <w:spacing w:after="120" w:line="269" w:lineRule="auto"/>
        <w:jc w:val="left"/>
        <w:bidi w:val="1"/>
      </w:pPr>
      <w:r>
        <w:rPr>
          <w:rFonts w:ascii="Arial" w:hAnsi="Arial"/>
          <w:color w:val="000000"/>
          <w:sz w:val="22"/>
          <w:rtl w:val="1"/>
          <w:szCs w:val="22"/>
        </w:rPr>
        <w:t>7.5  פינוי ואכיפה ייעשו בהליך חוקי בלבד; אין להחליף מנעול, לנתק שירותים או להוציא חפצים באופן עצמאי. אירוע המונע שימוש בדירה ייבחן לפי הדין; אין בהסכם ויתור מראש על פטור או סעד סטטוטורי.</w:t>
      </w:r>
    </w:p>
    <w:p>
      <w:pPr>
        <w:pStyle w:val="Heading1"/>
        <w:spacing w:after="120" w:line="269" w:lineRule="auto" w:before="240"/>
        <w:jc w:val="left"/>
        <w:keepNext/>
        <w:bidi w:val="1"/>
      </w:pPr>
      <w:r>
        <w:rPr>
          <w:rFonts w:ascii="Arial" w:hAnsi="Arial"/>
          <w:b/>
          <w:color w:val="000000"/>
          <w:sz w:val="26"/>
          <w:rtl w:val="1"/>
          <w:szCs w:val="26"/>
        </w:rPr>
        <w:t>8 התחייבות לבוררות באמצעות נתיב הוגן</w:t>
      </w:r>
    </w:p>
    <w:p>
      <w:pPr>
        <w:spacing w:after="120" w:line="269" w:lineRule="auto"/>
        <w:jc w:val="left"/>
        <w:bidi w:val="1"/>
      </w:pPr>
      <w:r>
        <w:rPr>
          <w:rFonts w:ascii="Arial" w:hAnsi="Arial"/>
          <w:color w:val="000000"/>
          <w:sz w:val="22"/>
          <w:rtl w:val="1"/>
          <w:szCs w:val="22"/>
        </w:rPr>
        <w:t>8.1  בחתימתם על הסכם זה הצדדים מסכימים ומתחייבים כבר עתה למסור לבוררות כל מחלוקת הנובעת ממנו או הקשורה לכריתתו, פרשנותו, ביצועו, הפרתו או סיומו, ככל שהעניין ניתן לבוררות לפי דין. הבוררות תתנהל באמצעות נתיב הוגן (FairPath), לפני הגשת תביעה לגוף המחלוקת לבית משפט. סעיף זה הוא הסכם בוררות בכתב ואינו מותנה בהסכמה מחודשת לאחר פרוץ המחלוקת.</w:t>
      </w:r>
    </w:p>
    <w:p>
      <w:pPr>
        <w:spacing w:after="120" w:line="269" w:lineRule="auto"/>
        <w:jc w:val="left"/>
        <w:bidi w:val="1"/>
      </w:pPr>
      <w:r>
        <w:rPr>
          <w:rFonts w:ascii="Arial" w:hAnsi="Arial"/>
          <w:color w:val="000000"/>
          <w:sz w:val="22"/>
          <w:rtl w:val="1"/>
          <w:szCs w:val="22"/>
        </w:rPr>
        <w:t>8.2  צד ימסור לצד האחר ולמזכירות נתיב הוגן הודעה מתועדת ובה ההסכם, תיאור המחלוקת והסעד המבוקש. הצדדים ינסו להגיע להסכמה ישירה בתוך 14 ימים מקבלת ההודעה; בהיעדר הסכמה יקדמו את מינוי הבוררים ללא דיחוי. גישור יתקיים רק בהסכמה ולא יהווה תנאי נוסף לבוררות.</w:t>
      </w:r>
    </w:p>
    <w:p>
      <w:pPr>
        <w:spacing w:after="120" w:line="269" w:lineRule="auto"/>
        <w:jc w:val="left"/>
        <w:bidi w:val="1"/>
      </w:pPr>
      <w:r>
        <w:rPr>
          <w:rFonts w:ascii="Arial" w:hAnsi="Arial"/>
          <w:color w:val="000000"/>
          <w:sz w:val="22"/>
          <w:rtl w:val="1"/>
          <w:szCs w:val="22"/>
        </w:rPr>
        <w:t>8.3  שני בוררים ייבחרו בהסכמה משותפת בתוך 14 ימים מתום תקופת ההידברות. כל בורר יהיה עצמאי, יגלה קשרים ועניין אישי ויקבל את אמון שני הצדדים. איש מהצדדים והמזכירות לא ימנו לבדם בורר. הצדדים רשאים להסכים בכתב על בורר יחיד.</w:t>
      </w:r>
    </w:p>
    <w:p>
      <w:pPr>
        <w:spacing w:after="120" w:line="269" w:lineRule="auto"/>
        <w:jc w:val="left"/>
        <w:bidi w:val="1"/>
      </w:pPr>
      <w:r>
        <w:rPr>
          <w:rFonts w:ascii="Arial" w:hAnsi="Arial"/>
          <w:color w:val="000000"/>
          <w:sz w:val="22"/>
          <w:rtl w:val="1"/>
          <w:szCs w:val="22"/>
        </w:rPr>
        <w:t>8.4  אם שני הבוררים לא יגיעו להכרעה מוסכמת, ימונה בורר שלישי בהסכמת הצדדים בתוך 14 ימים מהודעתם, והמותב המורחב יכריע ברוב דעות לאחר שנתן לצדדים זכות טיעון. אם לא הושלם מינוי, אם בורר אינו יכול לכהן, או אם נתיב הוגן אינה זמינה, יפעלו הצדדים למינוי או החלפה בהסכמה; בהיעדרה רשאי כל צד לבקש מינוי מהערכאה המוסמכת, בכפוף להודעה ולתנאים שבסעיף 8 לחוק הבוררות. חוסר שיתוף פעולה אינו מבטל את התחייבות הבוררות.</w:t>
      </w:r>
    </w:p>
    <w:p>
      <w:pPr>
        <w:spacing w:after="120" w:line="269" w:lineRule="auto"/>
        <w:jc w:val="left"/>
        <w:bidi w:val="1"/>
      </w:pPr>
      <w:r>
        <w:rPr>
          <w:rFonts w:ascii="Arial" w:hAnsi="Arial"/>
          <w:color w:val="000000"/>
          <w:sz w:val="22"/>
          <w:rtl w:val="1"/>
          <w:szCs w:val="22"/>
        </w:rPr>
        <w:t>8.5  יחולו דיני מדינת ישראל וחוק הבוררות, תשכ״ח-1968. הבוררים יפסקו לפי הדין המהותי, ייתנו פסק מנומק בכתב ויאפשרו לכל צד הזדמנות שווה להציג טענות, ראיות ותגובה לחומר הצד האחר. כל צד רשאי להסתייע בעורך דין. דיון מקוון יתקיים בהסכמה ותוך התאמות נגישות נחוצות.</w:t>
      </w:r>
    </w:p>
    <w:p>
      <w:pPr>
        <w:spacing w:after="120" w:line="269" w:lineRule="auto"/>
        <w:jc w:val="left"/>
        <w:bidi w:val="1"/>
      </w:pPr>
      <w:r>
        <w:rPr>
          <w:rFonts w:ascii="Arial" w:hAnsi="Arial"/>
          <w:color w:val="000000"/>
          <w:sz w:val="22"/>
          <w:rtl w:val="1"/>
          <w:szCs w:val="22"/>
        </w:rPr>
        <w:t>8.6  טרם קבלת המינוי יוצגו שכר הבוררים, דמי הניהול, אופן החישוב ותנאי הביטול ויאושרו בכתב בידי הצדדים. המקדמות יחולקו שווה בשווה אלא אם הוסכם אחרת; ההכרעה הסופית בהוצאות תהיה בידי הבוררים לאחר טיעון. לא יוחל תעריף עתידי או תקנון שלא צורף ואושר. היעדר הסכמה לעלות אינו מאפשר חיוב חד צדדי ויטופל במסגרת מנגנון המינוי.</w:t>
      </w:r>
    </w:p>
    <w:p>
      <w:pPr>
        <w:spacing w:after="120" w:line="269" w:lineRule="auto"/>
        <w:jc w:val="left"/>
        <w:bidi w:val="1"/>
      </w:pPr>
      <w:r>
        <w:rPr>
          <w:rFonts w:ascii="Arial" w:hAnsi="Arial"/>
          <w:color w:val="000000"/>
          <w:sz w:val="22"/>
          <w:rtl w:val="1"/>
          <w:szCs w:val="22"/>
        </w:rPr>
        <w:t>8.7  הצדדים ישמרו בסוד את חומרי ההליך, למעט גילוי הנדרש לפי דין, לייעוץ מקצועי, למבטח בכפוף לסודיות או לשם מימוש זכויות. אין הבטחה שהליך בבית משפט יישאר חסוי. פרסום מזוהה, הקלטה או שימוש בתוכן לאימון מערכת בינה מלאכותית ידרשו הסכמה נפרדת כדין.</w:t>
      </w:r>
    </w:p>
    <w:p>
      <w:pPr>
        <w:spacing w:after="120" w:line="269" w:lineRule="auto"/>
        <w:jc w:val="left"/>
        <w:bidi w:val="1"/>
      </w:pPr>
      <w:r>
        <w:rPr>
          <w:rFonts w:ascii="Arial" w:hAnsi="Arial"/>
          <w:color w:val="000000"/>
          <w:sz w:val="22"/>
          <w:rtl w:val="1"/>
          <w:szCs w:val="22"/>
        </w:rPr>
        <w:t>8.8  פסק הבוררות יחייב את הצדדים. לא נקבע ערעור פנימי כברירת מחדל; מסלול ערעור ייקבע רק בהסכם כתוב מתאים לדרישות הדין. נשמרות סמכויות בית המשפט לאישור הפסק, לביטולו, לאכיפתו ולפיקוח לפי הדין. אין בסעיף זה ויתור על זכות שאינה ניתנת להתניה.</w:t>
      </w:r>
    </w:p>
    <w:p>
      <w:pPr>
        <w:spacing w:after="120" w:line="269" w:lineRule="auto"/>
        <w:jc w:val="left"/>
        <w:bidi w:val="1"/>
      </w:pPr>
      <w:r>
        <w:rPr>
          <w:rFonts w:ascii="Arial" w:hAnsi="Arial"/>
          <w:color w:val="000000"/>
          <w:sz w:val="22"/>
          <w:rtl w:val="1"/>
          <w:szCs w:val="22"/>
        </w:rPr>
        <w:t>8.9  סעדים דחופים או זמניים, מניעת נזק, שמירת מועדים, מינוי בורר ועניינים שאינם בני בוררות ניתן להביא לערכאה המוסמכת ללא המתנה לסיום ההידברות. עצם הפנייה למזכירות אינה עוצרת התיישנות. חתימה על שטר מפורט בהמשך תסדיר פרטים בלבד ולא תהווה תנאי לתוקף התחייבות זו. הסעיף יוסיף לחול גם לאחר סיום ההסכם.</w:t>
      </w:r>
    </w:p>
    <w:p>
      <w:pPr>
        <w:pStyle w:val="Heading1"/>
        <w:spacing w:after="120" w:line="269" w:lineRule="auto" w:before="240"/>
        <w:jc w:val="left"/>
        <w:keepNext/>
        <w:bidi w:val="1"/>
      </w:pPr>
      <w:r>
        <w:rPr>
          <w:rFonts w:ascii="Arial" w:hAnsi="Arial"/>
          <w:b/>
          <w:color w:val="000000"/>
          <w:sz w:val="26"/>
          <w:rtl w:val="1"/>
          <w:szCs w:val="26"/>
        </w:rPr>
        <w:t>9 הודעות ושינויים</w:t>
      </w:r>
    </w:p>
    <w:p>
      <w:pPr>
        <w:spacing w:after="120" w:line="269" w:lineRule="auto"/>
        <w:jc w:val="left"/>
        <w:bidi w:val="1"/>
      </w:pPr>
      <w:r>
        <w:rPr>
          <w:rFonts w:ascii="Arial" w:hAnsi="Arial"/>
          <w:color w:val="000000"/>
          <w:sz w:val="22"/>
          <w:rtl w:val="1"/>
          <w:szCs w:val="22"/>
        </w:rPr>
        <w:t>9.1  הודעות יימסרו לכתובות הדוא״ל והמען שנרשמו בהסכם, בדרך המאפשרת הוכחת קבלה. הודעת ביטול או פתיחת בוררות תישלח בשני ערוצים ככל האפשר. כל צד יעדכן שינוי בפרטיו. אין באישור משלוח בלבד הוכחה חלוטה לקבלה.</w:t>
      </w:r>
    </w:p>
    <w:p>
      <w:pPr>
        <w:spacing w:after="120" w:line="269" w:lineRule="auto"/>
        <w:jc w:val="left"/>
        <w:bidi w:val="1"/>
      </w:pPr>
      <w:r>
        <w:rPr>
          <w:rFonts w:ascii="Arial" w:hAnsi="Arial"/>
          <w:color w:val="000000"/>
          <w:sz w:val="22"/>
          <w:rtl w:val="1"/>
          <w:szCs w:val="22"/>
        </w:rPr>
        <w:t>9.2  כל שינוי יחייב מסמך מתוארך וחתום בידי הצדדים. תנאי מסחרי ספציפי בנספח גובר על תנאי כללי רק אם צוין השינוי במפורש; הוראות דין שאינן ניתנות להתניה גוברות. שינוי בתניית הבוררות טעון אזכור מפורש שלה.</w:t>
      </w:r>
    </w:p>
    <w:p>
      <w:pPr>
        <w:spacing w:after="120" w:line="269" w:lineRule="auto"/>
        <w:jc w:val="left"/>
        <w:bidi w:val="1"/>
      </w:pPr>
      <w:r>
        <w:rPr>
          <w:rFonts w:ascii="Arial" w:hAnsi="Arial"/>
          <w:color w:val="000000"/>
          <w:sz w:val="22"/>
          <w:rtl w:val="1"/>
          <w:szCs w:val="22"/>
        </w:rPr>
        <w:t>9.3  אין בשיהוי משום ויתור. בטלות הוראה אינה מבטלת את יתר ההסכם ככל שניתן לקיימו. הצדדים יקיימו חיובים שאינם במחלוקת, בכפוף לזכויותיהם בדין. בתי המשפט בישראל המוסמכים לפי דין ידונו בעניינים שנותרו בסמכותם.</w:t>
      </w:r>
    </w:p>
    <w:p>
      <w:pPr>
        <w:pStyle w:val="Heading1"/>
        <w:spacing w:after="120" w:line="269" w:lineRule="auto" w:before="240"/>
        <w:jc w:val="left"/>
        <w:keepNext/>
        <w:bidi w:val="1"/>
      </w:pPr>
      <w:r>
        <w:rPr>
          <w:rFonts w:ascii="Arial" w:hAnsi="Arial"/>
          <w:b/>
          <w:color w:val="000000"/>
          <w:sz w:val="26"/>
          <w:rtl w:val="1"/>
          <w:szCs w:val="26"/>
        </w:rPr>
        <w:t>אישור וחתימות</w:t>
      </w:r>
    </w:p>
    <w:p>
      <w:pPr>
        <w:spacing w:after="120" w:line="269" w:lineRule="auto"/>
        <w:jc w:val="left"/>
        <w:bidi w:val="1"/>
      </w:pPr>
      <w:r>
        <w:rPr>
          <w:rFonts w:ascii="Arial" w:hAnsi="Arial"/>
          <w:color w:val="000000"/>
          <w:sz w:val="22"/>
          <w:rtl w:val="1"/>
          <w:szCs w:val="22"/>
        </w:rPr>
        <w:t>הצדדים קראו את ההסכם, ובפרט את ההתחייבות לבוררות באמצעות נתיב הוגן, הבינו את משמעותה וקיבלו אפשרות לייעוץ עצמאי. כל צד יקבל עותק חתום. התחייבות הבוררות היא חלק מההסכם שנחתם.</w:t>
      </w:r>
    </w:p>
    <w:p>
      <w:pPr>
        <w:spacing w:after="120" w:line="269" w:lineRule="auto"/>
        <w:jc w:val="left"/>
        <w:bidi w:val="1"/>
      </w:pPr>
      <w:r>
        <w:rPr>
          <w:rFonts w:ascii="Arial" w:hAnsi="Arial"/>
          <w:color w:val="000000"/>
          <w:sz w:val="22"/>
          <w:rtl w:val="1"/>
          <w:szCs w:val="22"/>
        </w:rPr>
        <w:t>צד א: שם __________ חתימה __________ תאריך __________</w:t>
      </w:r>
    </w:p>
    <w:p>
      <w:pPr>
        <w:spacing w:after="120" w:line="269" w:lineRule="auto"/>
        <w:jc w:val="left"/>
        <w:bidi w:val="1"/>
      </w:pPr>
      <w:r>
        <w:rPr>
          <w:rFonts w:ascii="Arial" w:hAnsi="Arial"/>
          <w:color w:val="000000"/>
          <w:sz w:val="22"/>
          <w:rtl w:val="1"/>
          <w:szCs w:val="22"/>
        </w:rPr>
        <w:t>צד ב: שם __________ חתימה __________ תאריך __________</w:t>
      </w:r>
    </w:p>
    <w:p>
      <w:pPr>
        <w:pStyle w:val="Heading1"/>
        <w:spacing w:after="120" w:line="269" w:lineRule="auto" w:before="240"/>
        <w:jc w:val="left"/>
        <w:keepNext/>
        <w:bidi w:val="1"/>
      </w:pPr>
      <w:r>
        <w:rPr>
          <w:rFonts w:ascii="Arial" w:hAnsi="Arial"/>
          <w:b/>
          <w:color w:val="000000"/>
          <w:sz w:val="26"/>
          <w:rtl w:val="1"/>
          <w:szCs w:val="26"/>
        </w:rPr>
        <w:t>נספח פרטי ביצוע ומסירה</w:t>
      </w:r>
    </w:p>
    <w:p>
      <w:pPr>
        <w:spacing w:after="120" w:line="269" w:lineRule="auto"/>
        <w:jc w:val="left"/>
        <w:bidi w:val="1"/>
      </w:pPr>
      <w:r>
        <w:rPr>
          <w:rFonts w:ascii="Arial" w:hAnsi="Arial"/>
          <w:color w:val="000000"/>
          <w:sz w:val="22"/>
          <w:rtl w:val="1"/>
          <w:szCs w:val="22"/>
        </w:rPr>
        <w:t>תאריך מסירה ושמות הנוכחים: __________________________________________________</w:t>
      </w:r>
    </w:p>
    <w:p>
      <w:pPr>
        <w:spacing w:after="120" w:line="269" w:lineRule="auto"/>
        <w:jc w:val="left"/>
        <w:bidi w:val="1"/>
      </w:pPr>
      <w:r>
        <w:rPr>
          <w:rFonts w:ascii="Arial" w:hAnsi="Arial"/>
          <w:color w:val="000000"/>
          <w:sz w:val="22"/>
          <w:rtl w:val="1"/>
          <w:szCs w:val="22"/>
        </w:rPr>
        <w:t>תכולה ומצב כל פריט: __________________________________________________</w:t>
      </w:r>
    </w:p>
    <w:p>
      <w:pPr>
        <w:spacing w:after="120" w:line="269" w:lineRule="auto"/>
        <w:jc w:val="left"/>
        <w:bidi w:val="1"/>
      </w:pPr>
      <w:r>
        <w:rPr>
          <w:rFonts w:ascii="Arial" w:hAnsi="Arial"/>
          <w:color w:val="000000"/>
          <w:sz w:val="22"/>
          <w:rtl w:val="1"/>
          <w:szCs w:val="22"/>
        </w:rPr>
        <w:t>ליקויים קיימים ומועדי תיקונם: __________________________________________________</w:t>
      </w:r>
    </w:p>
    <w:p>
      <w:pPr>
        <w:spacing w:after="120" w:line="269" w:lineRule="auto"/>
        <w:jc w:val="left"/>
        <w:bidi w:val="1"/>
      </w:pPr>
      <w:r>
        <w:rPr>
          <w:rFonts w:ascii="Arial" w:hAnsi="Arial"/>
          <w:color w:val="000000"/>
          <w:sz w:val="22"/>
          <w:rtl w:val="1"/>
          <w:szCs w:val="22"/>
        </w:rPr>
        <w:t>צילום מצורף ומספרו: __________________________________________________</w:t>
      </w:r>
    </w:p>
    <w:p>
      <w:pPr>
        <w:spacing w:after="120" w:line="269" w:lineRule="auto"/>
        <w:jc w:val="left"/>
        <w:bidi w:val="1"/>
      </w:pPr>
      <w:r>
        <w:rPr>
          <w:rFonts w:ascii="Arial" w:hAnsi="Arial"/>
          <w:color w:val="000000"/>
          <w:sz w:val="22"/>
          <w:rtl w:val="1"/>
          <w:szCs w:val="22"/>
        </w:rPr>
        <w:t>קריאת מונה מים: __________________________________________________</w:t>
      </w:r>
    </w:p>
    <w:p>
      <w:pPr>
        <w:spacing w:after="120" w:line="269" w:lineRule="auto"/>
        <w:jc w:val="left"/>
        <w:bidi w:val="1"/>
      </w:pPr>
      <w:r>
        <w:rPr>
          <w:rFonts w:ascii="Arial" w:hAnsi="Arial"/>
          <w:color w:val="000000"/>
          <w:sz w:val="22"/>
          <w:rtl w:val="1"/>
          <w:szCs w:val="22"/>
        </w:rPr>
        <w:t>קריאת מונה חשמל: __________________________________________________</w:t>
      </w:r>
    </w:p>
    <w:p>
      <w:pPr>
        <w:spacing w:after="120" w:line="269" w:lineRule="auto"/>
        <w:jc w:val="left"/>
        <w:bidi w:val="1"/>
      </w:pPr>
      <w:r>
        <w:rPr>
          <w:rFonts w:ascii="Arial" w:hAnsi="Arial"/>
          <w:color w:val="000000"/>
          <w:sz w:val="22"/>
          <w:rtl w:val="1"/>
          <w:szCs w:val="22"/>
        </w:rPr>
        <w:t>קריאת מונה גז: __________________________________________________</w:t>
      </w:r>
    </w:p>
    <w:p>
      <w:pPr>
        <w:spacing w:after="120" w:line="269" w:lineRule="auto"/>
        <w:jc w:val="left"/>
        <w:bidi w:val="1"/>
      </w:pPr>
      <w:r>
        <w:rPr>
          <w:rFonts w:ascii="Arial" w:hAnsi="Arial"/>
          <w:color w:val="000000"/>
          <w:sz w:val="22"/>
          <w:rtl w:val="1"/>
          <w:szCs w:val="22"/>
        </w:rPr>
        <w:t>מספר מפתחות ושלטים: __________________________________________________</w:t>
      </w:r>
    </w:p>
    <w:p>
      <w:pPr>
        <w:spacing w:after="120" w:line="269" w:lineRule="auto"/>
        <w:jc w:val="left"/>
        <w:bidi w:val="1"/>
      </w:pPr>
      <w:r>
        <w:rPr>
          <w:rFonts w:ascii="Arial" w:hAnsi="Arial"/>
          <w:color w:val="000000"/>
          <w:sz w:val="22"/>
          <w:rtl w:val="1"/>
          <w:szCs w:val="22"/>
        </w:rPr>
        <w:t>פרטי כל בטוחה ומועד החזרתה: __________________________________________________</w:t>
      </w:r>
    </w:p>
    <w:p>
      <w:pPr>
        <w:spacing w:after="120" w:line="269" w:lineRule="auto"/>
        <w:jc w:val="left"/>
        <w:bidi w:val="1"/>
      </w:pPr>
      <w:r>
        <w:rPr>
          <w:rFonts w:ascii="Arial" w:hAnsi="Arial"/>
          <w:color w:val="000000"/>
          <w:sz w:val="22"/>
          <w:rtl w:val="1"/>
          <w:szCs w:val="22"/>
        </w:rPr>
        <w:t>לוח התשלומים: __________________________________________________</w:t>
      </w:r>
    </w:p>
    <w:p>
      <w:pPr>
        <w:spacing w:after="120" w:line="269" w:lineRule="auto"/>
        <w:jc w:val="left"/>
        <w:bidi w:val="1"/>
      </w:pPr>
      <w:r>
        <w:rPr>
          <w:rFonts w:ascii="Arial" w:hAnsi="Arial"/>
          <w:color w:val="000000"/>
          <w:sz w:val="22"/>
          <w:rtl w:val="1"/>
          <w:szCs w:val="22"/>
        </w:rPr>
        <w:t>בדיקת החזרה וחובות שנותרו: __________________________________________________</w:t>
      </w:r>
    </w:p>
    <w:p>
      <w:pPr>
        <w:spacing w:after="120" w:line="269" w:lineRule="auto"/>
        <w:jc w:val="left"/>
        <w:bidi w:val="1"/>
      </w:pPr>
      <w:r>
        <w:rPr>
          <w:rFonts w:ascii="Arial" w:hAnsi="Arial"/>
          <w:color w:val="000000"/>
          <w:sz w:val="22"/>
          <w:rtl w:val="1"/>
          <w:szCs w:val="22"/>
        </w:rPr>
        <w:t>חתימות שני הצדדים על הנספח: __________________  __________________</w:t>
      </w:r>
    </w:p>
    <w:sectPr w:rsidR="00FC693F" w:rsidRPr="0006063C" w:rsidSect="00034616">
      <w:headerReference w:type="default" r:id="rId9"/>
      <w:pgSz w:w="12240" w:h="15840"/>
      <w:pgMar w:top="936"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